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AED6"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7DD2EAE4" w14:textId="77777777">
        <w:tc>
          <w:tcPr>
            <w:tcW w:w="9360" w:type="dxa"/>
            <w:shd w:val="clear" w:color="auto" w:fill="070A17"/>
            <w:tcMar>
              <w:top w:w="120" w:type="dxa"/>
              <w:left w:w="220" w:type="dxa"/>
              <w:bottom w:w="140" w:type="dxa"/>
              <w:right w:w="220" w:type="dxa"/>
            </w:tcMar>
          </w:tcPr>
          <w:p w14:paraId="77194026" w14:textId="77777777" w:rsidR="002855CC" w:rsidRDefault="00000000">
            <w:r>
              <w:rPr>
                <w:b/>
                <w:color w:val="39D7E8"/>
                <w:sz w:val="16"/>
              </w:rPr>
              <w:t>ANALYSIS OF INTERNAL CONFLICT</w:t>
            </w:r>
            <w:r>
              <w:rPr>
                <w:b/>
                <w:color w:val="FFFFFF"/>
                <w:sz w:val="16"/>
              </w:rPr>
              <w:t xml:space="preserve">   |   SESSION 2:1  ·  UR / EESPI</w:t>
            </w:r>
          </w:p>
          <w:p w14:paraId="1EBEEE0A" w14:textId="77777777" w:rsidR="002855CC" w:rsidRDefault="00000000">
            <w:pPr>
              <w:spacing w:after="100"/>
            </w:pPr>
            <w:r>
              <w:rPr>
                <w:b/>
                <w:color w:val="EF4DB6"/>
                <w:sz w:val="18"/>
              </w:rPr>
              <w:t>SESSION 2:1 · WHAT IS CIVIL WAR?</w:t>
            </w:r>
          </w:p>
          <w:p w14:paraId="1DBEAF41" w14:textId="77777777" w:rsidR="002855CC" w:rsidRDefault="00000000">
            <w:pPr>
              <w:spacing w:after="100"/>
            </w:pPr>
            <w:r>
              <w:rPr>
                <w:b/>
                <w:color w:val="FFFFFF"/>
                <w:sz w:val="42"/>
              </w:rPr>
              <w:t>Defining Civil War and Testing Its Boundaries</w:t>
            </w:r>
          </w:p>
          <w:p w14:paraId="37561E3D" w14:textId="77777777" w:rsidR="002855CC" w:rsidRDefault="00000000">
            <w:pPr>
              <w:spacing w:after="0"/>
            </w:pPr>
            <w:r>
              <w:rPr>
                <w:color w:val="BFC7DB"/>
              </w:rPr>
              <w:t>Reading-group worksheet</w:t>
            </w:r>
          </w:p>
        </w:tc>
      </w:tr>
    </w:tbl>
    <w:p w14:paraId="1F8A19C7" w14:textId="77777777" w:rsidR="002855CC" w:rsidRDefault="002855CC">
      <w:pPr>
        <w:spacing w:after="40"/>
      </w:pPr>
    </w:p>
    <w:p w14:paraId="100B9ED1" w14:textId="77777777" w:rsidR="002855CC" w:rsidRDefault="00000000">
      <w:pPr>
        <w:spacing w:after="20"/>
      </w:pPr>
      <w:r>
        <w:rPr>
          <w:b/>
          <w:color w:val="5E657A"/>
          <w:sz w:val="19"/>
        </w:rPr>
        <w:t>School of Social, Political and International Studies  ·  Universidad del Rosario</w:t>
      </w:r>
    </w:p>
    <w:p w14:paraId="28D88242" w14:textId="77777777" w:rsidR="002855CC" w:rsidRDefault="00000000">
      <w:pPr>
        <w:spacing w:after="200"/>
      </w:pPr>
      <w:r>
        <w:rPr>
          <w:b/>
          <w:color w:val="5E657A"/>
          <w:sz w:val="19"/>
        </w:rPr>
        <w:t>Mathew H. Charles, PhD</w:t>
      </w:r>
    </w:p>
    <w:tbl>
      <w:tblPr>
        <w:tblW w:w="9360" w:type="dxa"/>
        <w:tblInd w:w="120" w:type="dxa"/>
        <w:tblBorders>
          <w:top w:val="single" w:sz="8" w:space="0" w:color="39D7E8"/>
          <w:left w:val="single" w:sz="8" w:space="0" w:color="39D7E8"/>
          <w:bottom w:val="single" w:sz="8" w:space="0" w:color="39D7E8"/>
          <w:right w:val="single" w:sz="8" w:space="0" w:color="39D7E8"/>
          <w:insideH w:val="single" w:sz="8" w:space="0" w:color="39D7E8"/>
          <w:insideV w:val="single" w:sz="8" w:space="0" w:color="39D7E8"/>
        </w:tblBorders>
        <w:tblLayout w:type="fixed"/>
        <w:tblLook w:val="04A0" w:firstRow="1" w:lastRow="0" w:firstColumn="1" w:lastColumn="0" w:noHBand="0" w:noVBand="1"/>
      </w:tblPr>
      <w:tblGrid>
        <w:gridCol w:w="9360"/>
      </w:tblGrid>
      <w:tr w:rsidR="002855CC" w14:paraId="35C91466" w14:textId="77777777">
        <w:tc>
          <w:tcPr>
            <w:tcW w:w="9360" w:type="dxa"/>
            <w:shd w:val="clear" w:color="auto" w:fill="EAFBFD"/>
            <w:tcMar>
              <w:top w:w="100" w:type="dxa"/>
              <w:left w:w="120" w:type="dxa"/>
              <w:bottom w:w="100" w:type="dxa"/>
              <w:right w:w="120" w:type="dxa"/>
            </w:tcMar>
          </w:tcPr>
          <w:p w14:paraId="1509D8A6" w14:textId="77777777" w:rsidR="002855CC" w:rsidRDefault="00000000">
            <w:pPr>
              <w:spacing w:after="0"/>
            </w:pPr>
            <w:r>
              <w:rPr>
                <w:b/>
                <w:color w:val="39D7E8"/>
              </w:rPr>
              <w:t xml:space="preserve">Purpose: </w:t>
            </w:r>
            <w:r>
              <w:t>Construct a defensible definition of civil war, identify how researchers turn definitions into coding rules, and test the definition against violence that blurs civil war and organised crime.</w:t>
            </w:r>
          </w:p>
        </w:tc>
      </w:tr>
    </w:tbl>
    <w:p w14:paraId="7E205A74" w14:textId="77777777" w:rsidR="002855CC" w:rsidRDefault="002855CC">
      <w:pPr>
        <w:spacing w:after="40"/>
      </w:pPr>
    </w:p>
    <w:p w14:paraId="3A3B0655" w14:textId="77777777" w:rsidR="002855CC" w:rsidRDefault="00000000">
      <w:pPr>
        <w:pStyle w:val="Heading2"/>
      </w:pPr>
      <w:r>
        <w:rPr>
          <w:rFonts w:ascii="Calibri" w:hAnsi="Calibri"/>
        </w:rPr>
        <w:t>How the activity works</w:t>
      </w:r>
    </w:p>
    <w:p w14:paraId="056EBDD4" w14:textId="77777777" w:rsidR="002855CC" w:rsidRDefault="00000000">
      <w:pPr>
        <w:spacing w:after="100"/>
      </w:pPr>
      <w:r>
        <w:rPr>
          <w:b/>
          <w:color w:val="39D7E8"/>
          <w:sz w:val="19"/>
        </w:rPr>
        <w:t xml:space="preserve">STAGE 1  </w:t>
      </w:r>
      <w:r>
        <w:t>Complete only the section for your group’s assigned reading.</w:t>
      </w:r>
    </w:p>
    <w:p w14:paraId="0475246B" w14:textId="77777777" w:rsidR="002855CC" w:rsidRDefault="00000000">
      <w:pPr>
        <w:spacing w:after="100"/>
      </w:pPr>
      <w:r>
        <w:rPr>
          <w:b/>
          <w:color w:val="39D7E8"/>
          <w:sz w:val="19"/>
        </w:rPr>
        <w:t xml:space="preserve">STAGE 2  </w:t>
      </w:r>
      <w:r>
        <w:t>Present your group’s definition and criteria to the class.</w:t>
      </w:r>
    </w:p>
    <w:p w14:paraId="1D02CB67" w14:textId="77777777" w:rsidR="002855CC" w:rsidRDefault="00000000">
      <w:pPr>
        <w:spacing w:after="100"/>
      </w:pPr>
      <w:r>
        <w:rPr>
          <w:b/>
          <w:color w:val="39D7E8"/>
          <w:sz w:val="19"/>
        </w:rPr>
        <w:t xml:space="preserve">STAGE 3  </w:t>
      </w:r>
      <w:r>
        <w:t>Build a shared class definition.</w:t>
      </w:r>
    </w:p>
    <w:p w14:paraId="0F42008B" w14:textId="77D2D4DE" w:rsidR="002855CC" w:rsidRDefault="00000000">
      <w:pPr>
        <w:spacing w:after="100"/>
      </w:pPr>
      <w:r>
        <w:rPr>
          <w:b/>
          <w:color w:val="39D7E8"/>
          <w:sz w:val="19"/>
        </w:rPr>
        <w:t xml:space="preserve">STAGE </w:t>
      </w:r>
      <w:proofErr w:type="gramStart"/>
      <w:r>
        <w:rPr>
          <w:b/>
          <w:color w:val="39D7E8"/>
          <w:sz w:val="19"/>
        </w:rPr>
        <w:t xml:space="preserve">4  </w:t>
      </w:r>
      <w:r>
        <w:t>Test</w:t>
      </w:r>
      <w:proofErr w:type="gramEnd"/>
      <w:r>
        <w:t xml:space="preserve"> and revise it using Ramsbotham et al.’s </w:t>
      </w:r>
      <w:r w:rsidR="006829EF">
        <w:t>typology</w:t>
      </w:r>
      <w:r>
        <w:t>.</w:t>
      </w:r>
    </w:p>
    <w:p w14:paraId="721B8AF7" w14:textId="77777777" w:rsidR="002855CC" w:rsidRDefault="00000000">
      <w:pPr>
        <w:pStyle w:val="Heading2"/>
      </w:pPr>
      <w:r>
        <w:rPr>
          <w:rFonts w:ascii="Calibri" w:hAnsi="Calibri"/>
        </w:rPr>
        <w:t>Reading groups</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1350"/>
        <w:gridCol w:w="2950"/>
        <w:gridCol w:w="5060"/>
      </w:tblGrid>
      <w:tr w:rsidR="002855CC" w14:paraId="394526BE" w14:textId="77777777">
        <w:trPr>
          <w:tblHeader/>
        </w:trPr>
        <w:tc>
          <w:tcPr>
            <w:tcW w:w="1350" w:type="dxa"/>
            <w:shd w:val="clear" w:color="auto" w:fill="101426"/>
            <w:tcMar>
              <w:top w:w="100" w:type="dxa"/>
              <w:left w:w="120" w:type="dxa"/>
              <w:bottom w:w="100" w:type="dxa"/>
              <w:right w:w="120" w:type="dxa"/>
            </w:tcMar>
            <w:vAlign w:val="center"/>
          </w:tcPr>
          <w:p w14:paraId="25AF27F5" w14:textId="77777777" w:rsidR="002855CC" w:rsidRDefault="00000000">
            <w:pPr>
              <w:spacing w:after="0" w:line="264" w:lineRule="auto"/>
            </w:pPr>
            <w:r>
              <w:rPr>
                <w:b/>
                <w:color w:val="FFFFFF"/>
                <w:sz w:val="17"/>
              </w:rPr>
              <w:t>GROUP</w:t>
            </w:r>
          </w:p>
        </w:tc>
        <w:tc>
          <w:tcPr>
            <w:tcW w:w="2950" w:type="dxa"/>
            <w:shd w:val="clear" w:color="auto" w:fill="101426"/>
            <w:tcMar>
              <w:top w:w="100" w:type="dxa"/>
              <w:left w:w="120" w:type="dxa"/>
              <w:bottom w:w="100" w:type="dxa"/>
              <w:right w:w="120" w:type="dxa"/>
            </w:tcMar>
            <w:vAlign w:val="center"/>
          </w:tcPr>
          <w:p w14:paraId="4B9CB001" w14:textId="77777777" w:rsidR="002855CC" w:rsidRDefault="00000000">
            <w:pPr>
              <w:spacing w:after="0" w:line="264" w:lineRule="auto"/>
            </w:pPr>
            <w:r>
              <w:rPr>
                <w:b/>
                <w:color w:val="FFFFFF"/>
                <w:sz w:val="17"/>
              </w:rPr>
              <w:t>READING</w:t>
            </w:r>
          </w:p>
        </w:tc>
        <w:tc>
          <w:tcPr>
            <w:tcW w:w="5060" w:type="dxa"/>
            <w:shd w:val="clear" w:color="auto" w:fill="101426"/>
            <w:tcMar>
              <w:top w:w="100" w:type="dxa"/>
              <w:left w:w="120" w:type="dxa"/>
              <w:bottom w:w="100" w:type="dxa"/>
              <w:right w:w="120" w:type="dxa"/>
            </w:tcMar>
            <w:vAlign w:val="center"/>
          </w:tcPr>
          <w:p w14:paraId="5518F393" w14:textId="77777777" w:rsidR="002855CC" w:rsidRDefault="00000000">
            <w:pPr>
              <w:spacing w:after="0" w:line="264" w:lineRule="auto"/>
            </w:pPr>
            <w:r>
              <w:rPr>
                <w:b/>
                <w:color w:val="FFFFFF"/>
                <w:sz w:val="17"/>
              </w:rPr>
              <w:t>PRIMARY TASK</w:t>
            </w:r>
          </w:p>
        </w:tc>
      </w:tr>
      <w:tr w:rsidR="002855CC" w14:paraId="272A47F0" w14:textId="77777777">
        <w:tc>
          <w:tcPr>
            <w:tcW w:w="1350" w:type="dxa"/>
            <w:tcMar>
              <w:top w:w="100" w:type="dxa"/>
              <w:left w:w="120" w:type="dxa"/>
              <w:bottom w:w="100" w:type="dxa"/>
              <w:right w:w="120" w:type="dxa"/>
            </w:tcMar>
            <w:vAlign w:val="center"/>
          </w:tcPr>
          <w:p w14:paraId="2CEC26C9" w14:textId="77777777" w:rsidR="002855CC" w:rsidRDefault="00000000">
            <w:pPr>
              <w:spacing w:after="0" w:line="264" w:lineRule="auto"/>
              <w:jc w:val="center"/>
            </w:pPr>
            <w:r>
              <w:rPr>
                <w:sz w:val="18"/>
              </w:rPr>
              <w:t>1</w:t>
            </w:r>
          </w:p>
        </w:tc>
        <w:tc>
          <w:tcPr>
            <w:tcW w:w="2950" w:type="dxa"/>
            <w:tcMar>
              <w:top w:w="100" w:type="dxa"/>
              <w:left w:w="120" w:type="dxa"/>
              <w:bottom w:w="100" w:type="dxa"/>
              <w:right w:w="120" w:type="dxa"/>
            </w:tcMar>
            <w:vAlign w:val="center"/>
          </w:tcPr>
          <w:p w14:paraId="7A98A5BD" w14:textId="77777777" w:rsidR="002855CC" w:rsidRDefault="00000000">
            <w:pPr>
              <w:spacing w:after="0" w:line="264" w:lineRule="auto"/>
            </w:pPr>
            <w:r>
              <w:rPr>
                <w:sz w:val="18"/>
              </w:rPr>
              <w:t>Kalyvas, “Civil Wars”</w:t>
            </w:r>
          </w:p>
        </w:tc>
        <w:tc>
          <w:tcPr>
            <w:tcW w:w="5060" w:type="dxa"/>
            <w:tcMar>
              <w:top w:w="100" w:type="dxa"/>
              <w:left w:w="120" w:type="dxa"/>
              <w:bottom w:w="100" w:type="dxa"/>
              <w:right w:w="120" w:type="dxa"/>
            </w:tcMar>
            <w:vAlign w:val="center"/>
          </w:tcPr>
          <w:p w14:paraId="4D1B30C1" w14:textId="77777777" w:rsidR="002855CC" w:rsidRDefault="00000000">
            <w:pPr>
              <w:spacing w:after="0" w:line="264" w:lineRule="auto"/>
            </w:pPr>
            <w:r>
              <w:rPr>
                <w:sz w:val="18"/>
              </w:rPr>
              <w:t>Develop a conceptual definition.</w:t>
            </w:r>
          </w:p>
        </w:tc>
      </w:tr>
      <w:tr w:rsidR="002855CC" w14:paraId="64C96F75" w14:textId="77777777">
        <w:tc>
          <w:tcPr>
            <w:tcW w:w="1350" w:type="dxa"/>
            <w:shd w:val="clear" w:color="auto" w:fill="F3F5F8"/>
            <w:tcMar>
              <w:top w:w="100" w:type="dxa"/>
              <w:left w:w="120" w:type="dxa"/>
              <w:bottom w:w="100" w:type="dxa"/>
              <w:right w:w="120" w:type="dxa"/>
            </w:tcMar>
            <w:vAlign w:val="center"/>
          </w:tcPr>
          <w:p w14:paraId="1C168447" w14:textId="77777777" w:rsidR="002855CC" w:rsidRDefault="00000000">
            <w:pPr>
              <w:spacing w:after="0" w:line="264" w:lineRule="auto"/>
              <w:jc w:val="center"/>
            </w:pPr>
            <w:r>
              <w:rPr>
                <w:sz w:val="18"/>
              </w:rPr>
              <w:t>2</w:t>
            </w:r>
          </w:p>
        </w:tc>
        <w:tc>
          <w:tcPr>
            <w:tcW w:w="2950" w:type="dxa"/>
            <w:shd w:val="clear" w:color="auto" w:fill="F3F5F8"/>
            <w:tcMar>
              <w:top w:w="100" w:type="dxa"/>
              <w:left w:w="120" w:type="dxa"/>
              <w:bottom w:w="100" w:type="dxa"/>
              <w:right w:w="120" w:type="dxa"/>
            </w:tcMar>
            <w:vAlign w:val="center"/>
          </w:tcPr>
          <w:p w14:paraId="26DD5337" w14:textId="77777777" w:rsidR="002855CC" w:rsidRDefault="00000000">
            <w:pPr>
              <w:spacing w:after="0" w:line="264" w:lineRule="auto"/>
            </w:pPr>
            <w:r>
              <w:rPr>
                <w:sz w:val="18"/>
              </w:rPr>
              <w:t>Sambanis, “What Is a Civil War?”</w:t>
            </w:r>
          </w:p>
        </w:tc>
        <w:tc>
          <w:tcPr>
            <w:tcW w:w="5060" w:type="dxa"/>
            <w:shd w:val="clear" w:color="auto" w:fill="F3F5F8"/>
            <w:tcMar>
              <w:top w:w="100" w:type="dxa"/>
              <w:left w:w="120" w:type="dxa"/>
              <w:bottom w:w="100" w:type="dxa"/>
              <w:right w:w="120" w:type="dxa"/>
            </w:tcMar>
            <w:vAlign w:val="center"/>
          </w:tcPr>
          <w:p w14:paraId="13CE1A08" w14:textId="77777777" w:rsidR="002855CC" w:rsidRDefault="00000000">
            <w:pPr>
              <w:spacing w:after="0" w:line="264" w:lineRule="auto"/>
            </w:pPr>
            <w:r>
              <w:rPr>
                <w:sz w:val="18"/>
              </w:rPr>
              <w:t>Develop operational inclusion rules.</w:t>
            </w:r>
          </w:p>
        </w:tc>
      </w:tr>
      <w:tr w:rsidR="002855CC" w14:paraId="5208025B" w14:textId="77777777">
        <w:tc>
          <w:tcPr>
            <w:tcW w:w="1350" w:type="dxa"/>
            <w:tcMar>
              <w:top w:w="100" w:type="dxa"/>
              <w:left w:w="120" w:type="dxa"/>
              <w:bottom w:w="100" w:type="dxa"/>
              <w:right w:w="120" w:type="dxa"/>
            </w:tcMar>
            <w:vAlign w:val="center"/>
          </w:tcPr>
          <w:p w14:paraId="1EC5D172" w14:textId="77777777" w:rsidR="002855CC" w:rsidRDefault="00000000">
            <w:pPr>
              <w:spacing w:after="0" w:line="264" w:lineRule="auto"/>
              <w:jc w:val="center"/>
            </w:pPr>
            <w:r>
              <w:rPr>
                <w:sz w:val="18"/>
              </w:rPr>
              <w:t>3</w:t>
            </w:r>
          </w:p>
        </w:tc>
        <w:tc>
          <w:tcPr>
            <w:tcW w:w="2950" w:type="dxa"/>
            <w:tcMar>
              <w:top w:w="100" w:type="dxa"/>
              <w:left w:w="120" w:type="dxa"/>
              <w:bottom w:w="100" w:type="dxa"/>
              <w:right w:w="120" w:type="dxa"/>
            </w:tcMar>
            <w:vAlign w:val="center"/>
          </w:tcPr>
          <w:p w14:paraId="2600B225" w14:textId="77777777" w:rsidR="002855CC" w:rsidRDefault="00000000">
            <w:pPr>
              <w:spacing w:after="0" w:line="264" w:lineRule="auto"/>
            </w:pPr>
            <w:r>
              <w:rPr>
                <w:sz w:val="18"/>
              </w:rPr>
              <w:t>Kalyvas, “‘New’ and ‘Old’ Civil Wars”</w:t>
            </w:r>
          </w:p>
        </w:tc>
        <w:tc>
          <w:tcPr>
            <w:tcW w:w="5060" w:type="dxa"/>
            <w:tcMar>
              <w:top w:w="100" w:type="dxa"/>
              <w:left w:w="120" w:type="dxa"/>
              <w:bottom w:w="100" w:type="dxa"/>
              <w:right w:w="120" w:type="dxa"/>
            </w:tcMar>
            <w:vAlign w:val="center"/>
          </w:tcPr>
          <w:p w14:paraId="03BF03F8" w14:textId="77777777" w:rsidR="002855CC" w:rsidRDefault="00000000">
            <w:pPr>
              <w:spacing w:after="0" w:line="264" w:lineRule="auto"/>
            </w:pPr>
            <w:r>
              <w:rPr>
                <w:sz w:val="18"/>
              </w:rPr>
              <w:t>Identify complications and hybrid cases.</w:t>
            </w:r>
          </w:p>
        </w:tc>
      </w:tr>
    </w:tbl>
    <w:p w14:paraId="184F3EEB" w14:textId="77777777" w:rsidR="002855CC" w:rsidRDefault="002855CC">
      <w:pPr>
        <w:spacing w:after="40"/>
      </w:pPr>
    </w:p>
    <w:p w14:paraId="332D7964" w14:textId="77777777" w:rsidR="002855CC" w:rsidRDefault="00000000">
      <w:pPr>
        <w:keepNext/>
        <w:spacing w:before="40" w:after="60"/>
      </w:pPr>
      <w:r>
        <w:rPr>
          <w:b/>
          <w:color w:val="EF4DB6"/>
        </w:rPr>
        <w:t>Group details</w:t>
      </w:r>
    </w:p>
    <w:p w14:paraId="7296B7C2" w14:textId="77777777" w:rsidR="002855CC" w:rsidRDefault="00000000">
      <w:pPr>
        <w:keepNext/>
        <w:spacing w:after="60"/>
      </w:pPr>
      <w:r>
        <w:rPr>
          <w:i/>
          <w:color w:val="5E657A"/>
          <w:sz w:val="19"/>
        </w:rPr>
        <w:t>Group number, names and spokesperson</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7D10AF06" w14:textId="77777777">
        <w:tc>
          <w:tcPr>
            <w:tcW w:w="9360" w:type="dxa"/>
            <w:shd w:val="clear" w:color="auto" w:fill="F3F5F8"/>
            <w:tcMar>
              <w:top w:w="100" w:type="dxa"/>
              <w:left w:w="120" w:type="dxa"/>
              <w:bottom w:w="100" w:type="dxa"/>
              <w:right w:w="120" w:type="dxa"/>
            </w:tcMar>
          </w:tcPr>
          <w:p w14:paraId="1B1483CA" w14:textId="77777777" w:rsidR="002855CC" w:rsidRDefault="00000000">
            <w:pPr>
              <w:spacing w:after="0"/>
            </w:pPr>
            <w:r>
              <w:rPr>
                <w:sz w:val="20"/>
              </w:rPr>
              <w:br/>
            </w:r>
          </w:p>
        </w:tc>
      </w:tr>
    </w:tbl>
    <w:p w14:paraId="041786CC" w14:textId="77777777" w:rsidR="002855CC" w:rsidRDefault="002855CC">
      <w:pPr>
        <w:spacing w:after="40"/>
      </w:pPr>
    </w:p>
    <w:p w14:paraId="159AFF21" w14:textId="77777777" w:rsidR="002855CC" w:rsidRDefault="00000000">
      <w:r>
        <w:br w:type="page"/>
      </w:r>
    </w:p>
    <w:p w14:paraId="763A3F3F"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4A70485B" w14:textId="77777777">
        <w:tc>
          <w:tcPr>
            <w:tcW w:w="9360" w:type="dxa"/>
            <w:shd w:val="clear" w:color="auto" w:fill="070A17"/>
            <w:tcMar>
              <w:top w:w="120" w:type="dxa"/>
              <w:left w:w="220" w:type="dxa"/>
              <w:bottom w:w="140" w:type="dxa"/>
              <w:right w:w="220" w:type="dxa"/>
            </w:tcMar>
          </w:tcPr>
          <w:p w14:paraId="33993ECF" w14:textId="77777777" w:rsidR="002855CC" w:rsidRDefault="00000000">
            <w:r>
              <w:rPr>
                <w:b/>
                <w:color w:val="39D7E8"/>
                <w:sz w:val="16"/>
              </w:rPr>
              <w:t>ANALYSIS OF INTERNAL CONFLICT</w:t>
            </w:r>
            <w:r>
              <w:rPr>
                <w:b/>
                <w:color w:val="FFFFFF"/>
                <w:sz w:val="16"/>
              </w:rPr>
              <w:t xml:space="preserve">   |   SESSION 2:1  ·  UR / EESPI</w:t>
            </w:r>
          </w:p>
          <w:p w14:paraId="190B6CD5" w14:textId="77777777" w:rsidR="002855CC" w:rsidRDefault="00000000">
            <w:pPr>
              <w:spacing w:after="100"/>
            </w:pPr>
            <w:r>
              <w:rPr>
                <w:b/>
                <w:color w:val="EF4DB6"/>
                <w:sz w:val="18"/>
              </w:rPr>
              <w:t>READING GROUP 1</w:t>
            </w:r>
          </w:p>
          <w:p w14:paraId="665AF4DA" w14:textId="77777777" w:rsidR="002855CC" w:rsidRDefault="00000000">
            <w:pPr>
              <w:spacing w:after="100"/>
            </w:pPr>
            <w:r>
              <w:rPr>
                <w:b/>
                <w:color w:val="FFFFFF"/>
                <w:sz w:val="42"/>
              </w:rPr>
              <w:t>Kalyvas: a conceptual definition</w:t>
            </w:r>
          </w:p>
        </w:tc>
      </w:tr>
    </w:tbl>
    <w:p w14:paraId="509499E2" w14:textId="77777777" w:rsidR="002855CC" w:rsidRDefault="002855CC">
      <w:pPr>
        <w:spacing w:after="40"/>
      </w:pPr>
    </w:p>
    <w:p w14:paraId="6FE0503C" w14:textId="77777777" w:rsidR="002855CC" w:rsidRDefault="00000000">
      <w:pPr>
        <w:spacing w:after="160"/>
      </w:pPr>
      <w:r>
        <w:rPr>
          <w:i/>
          <w:color w:val="5E657A"/>
          <w:sz w:val="19"/>
        </w:rPr>
        <w:t>Reading: Stathis N. Kalyvas, “Civil Wars,” in The Oxford Handbook of Comparative Politics, pp. 416–434.</w:t>
      </w:r>
    </w:p>
    <w:tbl>
      <w:tblPr>
        <w:tblW w:w="9360" w:type="dxa"/>
        <w:tblInd w:w="120" w:type="dxa"/>
        <w:tblBorders>
          <w:top w:val="single" w:sz="8" w:space="0" w:color="39D7E8"/>
          <w:left w:val="single" w:sz="8" w:space="0" w:color="39D7E8"/>
          <w:bottom w:val="single" w:sz="8" w:space="0" w:color="39D7E8"/>
          <w:right w:val="single" w:sz="8" w:space="0" w:color="39D7E8"/>
          <w:insideH w:val="single" w:sz="8" w:space="0" w:color="39D7E8"/>
          <w:insideV w:val="single" w:sz="8" w:space="0" w:color="39D7E8"/>
        </w:tblBorders>
        <w:tblLayout w:type="fixed"/>
        <w:tblLook w:val="04A0" w:firstRow="1" w:lastRow="0" w:firstColumn="1" w:lastColumn="0" w:noHBand="0" w:noVBand="1"/>
      </w:tblPr>
      <w:tblGrid>
        <w:gridCol w:w="9360"/>
      </w:tblGrid>
      <w:tr w:rsidR="002855CC" w14:paraId="56A81649" w14:textId="77777777">
        <w:tc>
          <w:tcPr>
            <w:tcW w:w="9360" w:type="dxa"/>
            <w:shd w:val="clear" w:color="auto" w:fill="EAFBFD"/>
            <w:tcMar>
              <w:top w:w="100" w:type="dxa"/>
              <w:left w:w="120" w:type="dxa"/>
              <w:bottom w:w="100" w:type="dxa"/>
              <w:right w:w="120" w:type="dxa"/>
            </w:tcMar>
          </w:tcPr>
          <w:p w14:paraId="0B730589" w14:textId="77777777" w:rsidR="002855CC" w:rsidRDefault="00000000">
            <w:pPr>
              <w:spacing w:after="0"/>
            </w:pPr>
            <w:r>
              <w:rPr>
                <w:b/>
                <w:color w:val="39D7E8"/>
              </w:rPr>
              <w:t xml:space="preserve">Your task: </w:t>
            </w:r>
            <w:r>
              <w:t>Explain what civil war is as a type of organised political violence. Focus on the boundaries of the concept, not casualty-counting rules.</w:t>
            </w:r>
          </w:p>
        </w:tc>
      </w:tr>
    </w:tbl>
    <w:p w14:paraId="096BCD3C" w14:textId="77777777" w:rsidR="002855CC" w:rsidRDefault="002855CC">
      <w:pPr>
        <w:spacing w:after="40"/>
      </w:pPr>
    </w:p>
    <w:p w14:paraId="07AD1AB1" w14:textId="77777777" w:rsidR="002855CC" w:rsidRDefault="00000000">
      <w:pPr>
        <w:keepNext/>
        <w:spacing w:after="60"/>
      </w:pPr>
      <w:r>
        <w:rPr>
          <w:b/>
          <w:color w:val="EF4DB6"/>
        </w:rPr>
        <w:t xml:space="preserve">Q1  </w:t>
      </w:r>
      <w:r>
        <w:rPr>
          <w:b/>
        </w:rPr>
        <w:t>How does Kalyvas define civil war? Express the central idea in your own words.</w:t>
      </w:r>
    </w:p>
    <w:p w14:paraId="16E5AC01" w14:textId="77777777" w:rsidR="002855CC" w:rsidRDefault="00000000">
      <w:pPr>
        <w:pBdr>
          <w:bottom w:val="single" w:sz="4" w:space="3" w:color="D6DCE5"/>
        </w:pBdr>
        <w:spacing w:after="60" w:line="240" w:lineRule="auto"/>
      </w:pPr>
      <w:r>
        <w:t xml:space="preserve"> </w:t>
      </w:r>
    </w:p>
    <w:p w14:paraId="04046295" w14:textId="77777777" w:rsidR="002855CC" w:rsidRDefault="00000000">
      <w:pPr>
        <w:pBdr>
          <w:bottom w:val="single" w:sz="4" w:space="3" w:color="D6DCE5"/>
        </w:pBdr>
        <w:spacing w:after="60" w:line="240" w:lineRule="auto"/>
      </w:pPr>
      <w:r>
        <w:t xml:space="preserve"> </w:t>
      </w:r>
    </w:p>
    <w:p w14:paraId="374694CB" w14:textId="77777777" w:rsidR="002855CC" w:rsidRDefault="00000000">
      <w:pPr>
        <w:keepNext/>
        <w:spacing w:after="60"/>
      </w:pPr>
      <w:r>
        <w:rPr>
          <w:b/>
          <w:color w:val="EF4DB6"/>
        </w:rPr>
        <w:t xml:space="preserve">Q2  </w:t>
      </w:r>
      <w:r>
        <w:rPr>
          <w:b/>
        </w:rPr>
        <w:t>What makes the conflict civil—that is, internal to a political community?</w:t>
      </w:r>
    </w:p>
    <w:p w14:paraId="29C6FF19" w14:textId="77777777" w:rsidR="002855CC" w:rsidRDefault="00000000">
      <w:pPr>
        <w:pBdr>
          <w:bottom w:val="single" w:sz="4" w:space="3" w:color="D6DCE5"/>
        </w:pBdr>
        <w:spacing w:after="60" w:line="240" w:lineRule="auto"/>
      </w:pPr>
      <w:r>
        <w:t xml:space="preserve"> </w:t>
      </w:r>
    </w:p>
    <w:p w14:paraId="52352345" w14:textId="77777777" w:rsidR="002855CC" w:rsidRDefault="00000000">
      <w:pPr>
        <w:keepNext/>
        <w:spacing w:after="60"/>
      </w:pPr>
      <w:r>
        <w:rPr>
          <w:b/>
          <w:color w:val="EF4DB6"/>
        </w:rPr>
        <w:t xml:space="preserve">Q3  </w:t>
      </w:r>
      <w:r>
        <w:rPr>
          <w:b/>
        </w:rPr>
        <w:t>What makes it a war rather than a riot, protest or isolated terrorist attack?</w:t>
      </w:r>
    </w:p>
    <w:p w14:paraId="5B96E8F4" w14:textId="77777777" w:rsidR="002855CC" w:rsidRDefault="00000000">
      <w:pPr>
        <w:pBdr>
          <w:bottom w:val="single" w:sz="4" w:space="3" w:color="D6DCE5"/>
        </w:pBdr>
        <w:spacing w:after="60" w:line="240" w:lineRule="auto"/>
      </w:pPr>
      <w:r>
        <w:t xml:space="preserve"> </w:t>
      </w:r>
    </w:p>
    <w:p w14:paraId="4773BF24" w14:textId="77777777" w:rsidR="002855CC" w:rsidRDefault="00000000">
      <w:pPr>
        <w:keepNext/>
        <w:spacing w:after="60"/>
      </w:pPr>
      <w:r>
        <w:rPr>
          <w:b/>
          <w:color w:val="EF4DB6"/>
        </w:rPr>
        <w:t xml:space="preserve">Q4  </w:t>
      </w:r>
      <w:r>
        <w:rPr>
          <w:b/>
        </w:rPr>
        <w:t>What kinds of organised parties must be involved?</w:t>
      </w:r>
    </w:p>
    <w:p w14:paraId="3E78B480" w14:textId="77777777" w:rsidR="002855CC" w:rsidRDefault="00000000">
      <w:pPr>
        <w:pBdr>
          <w:bottom w:val="single" w:sz="4" w:space="3" w:color="D6DCE5"/>
        </w:pBdr>
        <w:spacing w:after="60" w:line="240" w:lineRule="auto"/>
      </w:pPr>
      <w:r>
        <w:t xml:space="preserve"> </w:t>
      </w:r>
    </w:p>
    <w:p w14:paraId="37B165F9" w14:textId="77777777" w:rsidR="002855CC" w:rsidRDefault="00000000">
      <w:pPr>
        <w:keepNext/>
        <w:spacing w:after="60"/>
      </w:pPr>
      <w:r>
        <w:rPr>
          <w:b/>
          <w:color w:val="EF4DB6"/>
        </w:rPr>
        <w:t xml:space="preserve">Q5  </w:t>
      </w:r>
      <w:r>
        <w:rPr>
          <w:b/>
        </w:rPr>
        <w:t>How is civil war distinguished from interstate war, genocide and ordinary criminal violence?</w:t>
      </w:r>
    </w:p>
    <w:p w14:paraId="2BA1C246" w14:textId="77777777" w:rsidR="002855CC" w:rsidRDefault="00000000">
      <w:pPr>
        <w:pBdr>
          <w:bottom w:val="single" w:sz="4" w:space="3" w:color="D6DCE5"/>
        </w:pBdr>
        <w:spacing w:after="60" w:line="240" w:lineRule="auto"/>
      </w:pPr>
      <w:r>
        <w:t xml:space="preserve"> </w:t>
      </w:r>
    </w:p>
    <w:p w14:paraId="77A6AF79" w14:textId="77777777" w:rsidR="002855CC" w:rsidRDefault="00000000">
      <w:pPr>
        <w:keepNext/>
        <w:spacing w:after="60"/>
      </w:pPr>
      <w:r>
        <w:rPr>
          <w:b/>
          <w:color w:val="EF4DB6"/>
        </w:rPr>
        <w:t xml:space="preserve">Q6  </w:t>
      </w:r>
      <w:r>
        <w:rPr>
          <w:b/>
        </w:rPr>
        <w:t>Which borderline case would be hardest to classify using this definition, and why?</w:t>
      </w:r>
    </w:p>
    <w:p w14:paraId="50A6B010" w14:textId="77777777" w:rsidR="002855CC" w:rsidRDefault="00000000">
      <w:pPr>
        <w:pBdr>
          <w:bottom w:val="single" w:sz="4" w:space="3" w:color="D6DCE5"/>
        </w:pBdr>
        <w:spacing w:after="60" w:line="240" w:lineRule="auto"/>
      </w:pPr>
      <w:r>
        <w:t xml:space="preserve"> </w:t>
      </w:r>
    </w:p>
    <w:p w14:paraId="25BD4070" w14:textId="77777777" w:rsidR="002855CC" w:rsidRDefault="00000000">
      <w:pPr>
        <w:pBdr>
          <w:bottom w:val="single" w:sz="4" w:space="3" w:color="D6DCE5"/>
        </w:pBdr>
        <w:spacing w:after="60" w:line="240" w:lineRule="auto"/>
      </w:pPr>
      <w:r>
        <w:t xml:space="preserve"> </w:t>
      </w:r>
    </w:p>
    <w:p w14:paraId="685DCE5E" w14:textId="77777777" w:rsidR="002855CC" w:rsidRDefault="00000000">
      <w:pPr>
        <w:keepNext/>
        <w:spacing w:before="40" w:after="60"/>
      </w:pPr>
      <w:r>
        <w:rPr>
          <w:b/>
          <w:color w:val="EF4DB6"/>
        </w:rPr>
        <w:t>Group 1 deliverable</w:t>
      </w:r>
    </w:p>
    <w:p w14:paraId="71C2E980" w14:textId="77777777" w:rsidR="002855CC" w:rsidRDefault="00000000">
      <w:pPr>
        <w:keepNext/>
        <w:spacing w:after="60"/>
      </w:pPr>
      <w:r>
        <w:rPr>
          <w:i/>
          <w:color w:val="5E657A"/>
          <w:sz w:val="19"/>
        </w:rPr>
        <w:t>Write a two-sentence definition, followed by three essential criteria and one form of violence it excludes.</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4B10D9B1" w14:textId="77777777">
        <w:tc>
          <w:tcPr>
            <w:tcW w:w="9360" w:type="dxa"/>
            <w:shd w:val="clear" w:color="auto" w:fill="EAFBFD"/>
            <w:tcMar>
              <w:top w:w="100" w:type="dxa"/>
              <w:left w:w="120" w:type="dxa"/>
              <w:bottom w:w="100" w:type="dxa"/>
              <w:right w:w="120" w:type="dxa"/>
            </w:tcMar>
          </w:tcPr>
          <w:p w14:paraId="5D84CF48" w14:textId="77777777" w:rsidR="002855CC" w:rsidRDefault="00000000">
            <w:pPr>
              <w:spacing w:after="0"/>
            </w:pPr>
            <w:r>
              <w:rPr>
                <w:sz w:val="20"/>
              </w:rPr>
              <w:br/>
            </w:r>
            <w:r>
              <w:rPr>
                <w:sz w:val="20"/>
              </w:rPr>
              <w:br/>
            </w:r>
            <w:r>
              <w:rPr>
                <w:sz w:val="20"/>
              </w:rPr>
              <w:br/>
            </w:r>
            <w:r>
              <w:rPr>
                <w:sz w:val="20"/>
              </w:rPr>
              <w:br/>
            </w:r>
          </w:p>
        </w:tc>
      </w:tr>
    </w:tbl>
    <w:p w14:paraId="607C41A7" w14:textId="77777777" w:rsidR="002855CC" w:rsidRDefault="002855CC">
      <w:pPr>
        <w:spacing w:after="40"/>
      </w:pPr>
    </w:p>
    <w:p w14:paraId="19EF8228" w14:textId="77777777" w:rsidR="002855CC" w:rsidRDefault="00000000">
      <w:r>
        <w:br w:type="page"/>
      </w:r>
    </w:p>
    <w:p w14:paraId="1460EDE2"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195ED28F" w14:textId="77777777">
        <w:tc>
          <w:tcPr>
            <w:tcW w:w="9360" w:type="dxa"/>
            <w:shd w:val="clear" w:color="auto" w:fill="070A17"/>
            <w:tcMar>
              <w:top w:w="120" w:type="dxa"/>
              <w:left w:w="220" w:type="dxa"/>
              <w:bottom w:w="140" w:type="dxa"/>
              <w:right w:w="220" w:type="dxa"/>
            </w:tcMar>
          </w:tcPr>
          <w:p w14:paraId="6592B72A" w14:textId="77777777" w:rsidR="002855CC" w:rsidRDefault="00000000">
            <w:r>
              <w:rPr>
                <w:b/>
                <w:color w:val="39D7E8"/>
                <w:sz w:val="16"/>
              </w:rPr>
              <w:t>ANALYSIS OF INTERNAL CONFLICT</w:t>
            </w:r>
            <w:r>
              <w:rPr>
                <w:b/>
                <w:color w:val="FFFFFF"/>
                <w:sz w:val="16"/>
              </w:rPr>
              <w:t xml:space="preserve">   |   SESSION 2:1  ·  UR / EESPI</w:t>
            </w:r>
          </w:p>
          <w:p w14:paraId="4889ABB6" w14:textId="77777777" w:rsidR="002855CC" w:rsidRDefault="00000000">
            <w:pPr>
              <w:spacing w:after="100"/>
            </w:pPr>
            <w:r>
              <w:rPr>
                <w:b/>
                <w:color w:val="EF4DB6"/>
                <w:sz w:val="18"/>
              </w:rPr>
              <w:t>READING GROUP 2</w:t>
            </w:r>
          </w:p>
          <w:p w14:paraId="648D3CB5" w14:textId="77777777" w:rsidR="002855CC" w:rsidRDefault="00000000">
            <w:pPr>
              <w:spacing w:after="100"/>
            </w:pPr>
            <w:r>
              <w:rPr>
                <w:b/>
                <w:color w:val="FFFFFF"/>
                <w:sz w:val="42"/>
              </w:rPr>
              <w:t>Sambanis: an operational definition</w:t>
            </w:r>
          </w:p>
        </w:tc>
      </w:tr>
    </w:tbl>
    <w:p w14:paraId="65C07384" w14:textId="77777777" w:rsidR="002855CC" w:rsidRDefault="002855CC">
      <w:pPr>
        <w:spacing w:after="40"/>
      </w:pPr>
    </w:p>
    <w:p w14:paraId="231C784E" w14:textId="77777777" w:rsidR="002855CC" w:rsidRDefault="00000000">
      <w:pPr>
        <w:spacing w:after="160"/>
      </w:pPr>
      <w:r>
        <w:rPr>
          <w:i/>
          <w:color w:val="5E657A"/>
          <w:sz w:val="19"/>
        </w:rPr>
        <w:t>Reading: Nicholas Sambanis, “What Is a Civil War? Conceptual and Empirical Complexities of an Operational Definition,” Journal of Conflict Resolution 48(6), pp. 814–858.</w:t>
      </w:r>
    </w:p>
    <w:tbl>
      <w:tblPr>
        <w:tblW w:w="9360" w:type="dxa"/>
        <w:tblInd w:w="120" w:type="dxa"/>
        <w:tblBorders>
          <w:top w:val="single" w:sz="8" w:space="0" w:color="39D7E8"/>
          <w:left w:val="single" w:sz="8" w:space="0" w:color="39D7E8"/>
          <w:bottom w:val="single" w:sz="8" w:space="0" w:color="39D7E8"/>
          <w:right w:val="single" w:sz="8" w:space="0" w:color="39D7E8"/>
          <w:insideH w:val="single" w:sz="8" w:space="0" w:color="39D7E8"/>
          <w:insideV w:val="single" w:sz="8" w:space="0" w:color="39D7E8"/>
        </w:tblBorders>
        <w:tblLayout w:type="fixed"/>
        <w:tblLook w:val="04A0" w:firstRow="1" w:lastRow="0" w:firstColumn="1" w:lastColumn="0" w:noHBand="0" w:noVBand="1"/>
      </w:tblPr>
      <w:tblGrid>
        <w:gridCol w:w="9360"/>
      </w:tblGrid>
      <w:tr w:rsidR="002855CC" w14:paraId="31E552A1" w14:textId="77777777">
        <w:tc>
          <w:tcPr>
            <w:tcW w:w="9360" w:type="dxa"/>
            <w:shd w:val="clear" w:color="auto" w:fill="EAFBFD"/>
            <w:tcMar>
              <w:top w:w="100" w:type="dxa"/>
              <w:left w:w="120" w:type="dxa"/>
              <w:bottom w:w="100" w:type="dxa"/>
              <w:right w:w="120" w:type="dxa"/>
            </w:tcMar>
          </w:tcPr>
          <w:p w14:paraId="16400AA6" w14:textId="77777777" w:rsidR="002855CC" w:rsidRDefault="00000000">
            <w:pPr>
              <w:spacing w:after="0"/>
            </w:pPr>
            <w:r>
              <w:rPr>
                <w:b/>
                <w:color w:val="39D7E8"/>
              </w:rPr>
              <w:t xml:space="preserve">Your task: </w:t>
            </w:r>
            <w:r>
              <w:t>Turn the concept of civil war into a checklist that researchers could apply consistently when constructing a dataset.</w:t>
            </w:r>
          </w:p>
        </w:tc>
      </w:tr>
    </w:tbl>
    <w:p w14:paraId="459FB98A" w14:textId="77777777" w:rsidR="002855CC" w:rsidRDefault="002855CC">
      <w:pPr>
        <w:spacing w:after="40"/>
      </w:pPr>
    </w:p>
    <w:p w14:paraId="1B9DAED0" w14:textId="77777777" w:rsidR="002855CC" w:rsidRDefault="00000000">
      <w:pPr>
        <w:keepNext/>
        <w:spacing w:after="60"/>
      </w:pPr>
      <w:r>
        <w:rPr>
          <w:b/>
          <w:color w:val="EF4DB6"/>
        </w:rPr>
        <w:t xml:space="preserve">Q1  </w:t>
      </w:r>
      <w:r>
        <w:rPr>
          <w:b/>
        </w:rPr>
        <w:t>Why does Sambanis argue that there is no simple, universally accepted operational definition?</w:t>
      </w:r>
    </w:p>
    <w:p w14:paraId="0B482693" w14:textId="77777777" w:rsidR="002855CC" w:rsidRDefault="00000000">
      <w:pPr>
        <w:pBdr>
          <w:bottom w:val="single" w:sz="4" w:space="3" w:color="D6DCE5"/>
        </w:pBdr>
        <w:spacing w:after="60" w:line="240" w:lineRule="auto"/>
      </w:pPr>
      <w:r>
        <w:t xml:space="preserve"> </w:t>
      </w:r>
    </w:p>
    <w:p w14:paraId="69FC940A" w14:textId="77777777" w:rsidR="002855CC" w:rsidRDefault="00000000">
      <w:pPr>
        <w:pBdr>
          <w:bottom w:val="single" w:sz="4" w:space="3" w:color="D6DCE5"/>
        </w:pBdr>
        <w:spacing w:after="60" w:line="240" w:lineRule="auto"/>
      </w:pPr>
      <w:r>
        <w:t xml:space="preserve"> </w:t>
      </w:r>
    </w:p>
    <w:p w14:paraId="19C83E25" w14:textId="77777777" w:rsidR="002855CC" w:rsidRDefault="00000000">
      <w:pPr>
        <w:keepNext/>
        <w:spacing w:after="60"/>
      </w:pPr>
      <w:r>
        <w:rPr>
          <w:b/>
          <w:color w:val="EF4DB6"/>
        </w:rPr>
        <w:t xml:space="preserve">Q2  </w:t>
      </w:r>
      <w:r>
        <w:rPr>
          <w:b/>
        </w:rPr>
        <w:t>What evidence is required about the actors, their organisation and the state’s involvement?</w:t>
      </w:r>
    </w:p>
    <w:p w14:paraId="3204C43E" w14:textId="77777777" w:rsidR="002855CC" w:rsidRDefault="00000000">
      <w:pPr>
        <w:pBdr>
          <w:bottom w:val="single" w:sz="4" w:space="3" w:color="D6DCE5"/>
        </w:pBdr>
        <w:spacing w:after="60" w:line="240" w:lineRule="auto"/>
      </w:pPr>
      <w:r>
        <w:t xml:space="preserve"> </w:t>
      </w:r>
    </w:p>
    <w:p w14:paraId="7BE95E34" w14:textId="77777777" w:rsidR="002855CC" w:rsidRDefault="00000000">
      <w:pPr>
        <w:keepNext/>
        <w:spacing w:after="60"/>
      </w:pPr>
      <w:r>
        <w:rPr>
          <w:b/>
          <w:color w:val="EF4DB6"/>
        </w:rPr>
        <w:t xml:space="preserve">Q3  </w:t>
      </w:r>
      <w:r>
        <w:rPr>
          <w:b/>
        </w:rPr>
        <w:t>Why do casualty thresholds matter, and what can they exclude?</w:t>
      </w:r>
    </w:p>
    <w:p w14:paraId="42CFEF5F" w14:textId="77777777" w:rsidR="002855CC" w:rsidRDefault="00000000">
      <w:pPr>
        <w:pBdr>
          <w:bottom w:val="single" w:sz="4" w:space="3" w:color="D6DCE5"/>
        </w:pBdr>
        <w:spacing w:after="60" w:line="240" w:lineRule="auto"/>
      </w:pPr>
      <w:r>
        <w:t xml:space="preserve"> </w:t>
      </w:r>
    </w:p>
    <w:p w14:paraId="3E1EDA5E" w14:textId="77777777" w:rsidR="002855CC" w:rsidRDefault="00000000">
      <w:pPr>
        <w:keepNext/>
        <w:spacing w:after="60"/>
      </w:pPr>
      <w:r>
        <w:rPr>
          <w:b/>
          <w:color w:val="EF4DB6"/>
        </w:rPr>
        <w:t xml:space="preserve">Q4  </w:t>
      </w:r>
      <w:r>
        <w:rPr>
          <w:b/>
        </w:rPr>
        <w:t>How should researchers decide when a war begins and ends?</w:t>
      </w:r>
    </w:p>
    <w:p w14:paraId="40AC0D3C" w14:textId="77777777" w:rsidR="002855CC" w:rsidRDefault="00000000">
      <w:pPr>
        <w:pBdr>
          <w:bottom w:val="single" w:sz="4" w:space="3" w:color="D6DCE5"/>
        </w:pBdr>
        <w:spacing w:after="60" w:line="240" w:lineRule="auto"/>
      </w:pPr>
      <w:r>
        <w:t xml:space="preserve"> </w:t>
      </w:r>
    </w:p>
    <w:p w14:paraId="23847C68" w14:textId="77777777" w:rsidR="002855CC" w:rsidRDefault="00000000">
      <w:pPr>
        <w:keepNext/>
        <w:spacing w:after="60"/>
      </w:pPr>
      <w:r>
        <w:rPr>
          <w:b/>
          <w:color w:val="EF4DB6"/>
        </w:rPr>
        <w:t xml:space="preserve">Q5  </w:t>
      </w:r>
      <w:r>
        <w:rPr>
          <w:b/>
        </w:rPr>
        <w:t>How should pauses in fighting or renewed violence be coded?</w:t>
      </w:r>
    </w:p>
    <w:p w14:paraId="2CA571CE" w14:textId="77777777" w:rsidR="002855CC" w:rsidRDefault="00000000">
      <w:pPr>
        <w:pBdr>
          <w:bottom w:val="single" w:sz="4" w:space="3" w:color="D6DCE5"/>
        </w:pBdr>
        <w:spacing w:after="60" w:line="240" w:lineRule="auto"/>
      </w:pPr>
      <w:r>
        <w:t xml:space="preserve"> </w:t>
      </w:r>
    </w:p>
    <w:p w14:paraId="620BC560" w14:textId="77777777" w:rsidR="002855CC" w:rsidRDefault="00000000">
      <w:pPr>
        <w:keepNext/>
        <w:spacing w:after="60"/>
      </w:pPr>
      <w:r>
        <w:rPr>
          <w:b/>
          <w:color w:val="EF4DB6"/>
        </w:rPr>
        <w:t xml:space="preserve">Q6  </w:t>
      </w:r>
      <w:r>
        <w:rPr>
          <w:b/>
        </w:rPr>
        <w:t>How could different coding rules change findings about the causes or frequency of civil war?</w:t>
      </w:r>
    </w:p>
    <w:p w14:paraId="789FD009" w14:textId="77777777" w:rsidR="002855CC" w:rsidRDefault="00000000">
      <w:pPr>
        <w:pBdr>
          <w:bottom w:val="single" w:sz="4" w:space="3" w:color="D6DCE5"/>
        </w:pBdr>
        <w:spacing w:after="60" w:line="240" w:lineRule="auto"/>
      </w:pPr>
      <w:r>
        <w:t xml:space="preserve"> </w:t>
      </w:r>
    </w:p>
    <w:p w14:paraId="25FCD325" w14:textId="77777777" w:rsidR="002855CC" w:rsidRDefault="00000000">
      <w:pPr>
        <w:pBdr>
          <w:bottom w:val="single" w:sz="4" w:space="3" w:color="D6DCE5"/>
        </w:pBdr>
        <w:spacing w:after="60" w:line="240" w:lineRule="auto"/>
      </w:pPr>
      <w:r>
        <w:t xml:space="preserve"> </w:t>
      </w:r>
    </w:p>
    <w:p w14:paraId="6F3CFF3E" w14:textId="77777777" w:rsidR="002855CC" w:rsidRDefault="00000000">
      <w:pPr>
        <w:keepNext/>
        <w:spacing w:before="40" w:after="60"/>
      </w:pPr>
      <w:r>
        <w:rPr>
          <w:b/>
          <w:color w:val="EF4DB6"/>
        </w:rPr>
        <w:t>Group 2 deliverable</w:t>
      </w:r>
    </w:p>
    <w:p w14:paraId="1218CE55" w14:textId="77777777" w:rsidR="002855CC" w:rsidRDefault="00000000">
      <w:pPr>
        <w:keepNext/>
        <w:spacing w:after="60"/>
      </w:pPr>
      <w:r>
        <w:rPr>
          <w:i/>
          <w:color w:val="5E657A"/>
          <w:sz w:val="19"/>
        </w:rPr>
        <w:t>Create five inclusion rules beginning: “We would code a case as civil war if…”</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757035B9" w14:textId="77777777">
        <w:tc>
          <w:tcPr>
            <w:tcW w:w="9360" w:type="dxa"/>
            <w:shd w:val="clear" w:color="auto" w:fill="EAFBFD"/>
            <w:tcMar>
              <w:top w:w="100" w:type="dxa"/>
              <w:left w:w="120" w:type="dxa"/>
              <w:bottom w:w="100" w:type="dxa"/>
              <w:right w:w="120" w:type="dxa"/>
            </w:tcMar>
          </w:tcPr>
          <w:p w14:paraId="5CB0606E" w14:textId="77777777" w:rsidR="002855CC" w:rsidRDefault="00000000">
            <w:pPr>
              <w:spacing w:after="0"/>
            </w:pPr>
            <w:r>
              <w:rPr>
                <w:sz w:val="20"/>
              </w:rPr>
              <w:br/>
            </w:r>
            <w:r>
              <w:rPr>
                <w:sz w:val="20"/>
              </w:rPr>
              <w:br/>
            </w:r>
            <w:r>
              <w:rPr>
                <w:sz w:val="20"/>
              </w:rPr>
              <w:br/>
            </w:r>
            <w:r>
              <w:rPr>
                <w:sz w:val="20"/>
              </w:rPr>
              <w:br/>
            </w:r>
          </w:p>
        </w:tc>
      </w:tr>
    </w:tbl>
    <w:p w14:paraId="6CC9EB45" w14:textId="77777777" w:rsidR="002855CC" w:rsidRDefault="002855CC">
      <w:pPr>
        <w:spacing w:after="40"/>
      </w:pPr>
    </w:p>
    <w:p w14:paraId="1953BA05" w14:textId="77777777" w:rsidR="002855CC" w:rsidRDefault="00000000">
      <w:r>
        <w:br w:type="page"/>
      </w:r>
    </w:p>
    <w:p w14:paraId="3C140059"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5C364793" w14:textId="77777777">
        <w:tc>
          <w:tcPr>
            <w:tcW w:w="9360" w:type="dxa"/>
            <w:shd w:val="clear" w:color="auto" w:fill="070A17"/>
            <w:tcMar>
              <w:top w:w="120" w:type="dxa"/>
              <w:left w:w="220" w:type="dxa"/>
              <w:bottom w:w="140" w:type="dxa"/>
              <w:right w:w="220" w:type="dxa"/>
            </w:tcMar>
          </w:tcPr>
          <w:p w14:paraId="665E2874" w14:textId="77777777" w:rsidR="002855CC" w:rsidRDefault="00000000">
            <w:r>
              <w:rPr>
                <w:b/>
                <w:color w:val="39D7E8"/>
                <w:sz w:val="16"/>
              </w:rPr>
              <w:t>ANALYSIS OF INTERNAL CONFLICT</w:t>
            </w:r>
            <w:r>
              <w:rPr>
                <w:b/>
                <w:color w:val="FFFFFF"/>
                <w:sz w:val="16"/>
              </w:rPr>
              <w:t xml:space="preserve">   |   SESSION 2:1  ·  UR / EESPI</w:t>
            </w:r>
          </w:p>
          <w:p w14:paraId="4542C6FA" w14:textId="77777777" w:rsidR="002855CC" w:rsidRDefault="00000000">
            <w:pPr>
              <w:spacing w:after="100"/>
            </w:pPr>
            <w:r>
              <w:rPr>
                <w:b/>
                <w:color w:val="EF4DB6"/>
                <w:sz w:val="18"/>
              </w:rPr>
              <w:t>READING GROUP 3</w:t>
            </w:r>
          </w:p>
          <w:p w14:paraId="2DD840AF" w14:textId="77777777" w:rsidR="002855CC" w:rsidRDefault="00000000">
            <w:pPr>
              <w:spacing w:after="100"/>
            </w:pPr>
            <w:r>
              <w:rPr>
                <w:b/>
                <w:color w:val="FFFFFF"/>
                <w:sz w:val="42"/>
              </w:rPr>
              <w:t>Kalyvas: challenging the “new wars” thesis</w:t>
            </w:r>
          </w:p>
        </w:tc>
      </w:tr>
    </w:tbl>
    <w:p w14:paraId="2964AF9D" w14:textId="77777777" w:rsidR="002855CC" w:rsidRDefault="002855CC">
      <w:pPr>
        <w:spacing w:after="40"/>
      </w:pPr>
    </w:p>
    <w:p w14:paraId="16B1F261" w14:textId="77777777" w:rsidR="002855CC" w:rsidRDefault="00000000">
      <w:pPr>
        <w:spacing w:after="160"/>
      </w:pPr>
      <w:r>
        <w:rPr>
          <w:i/>
          <w:color w:val="5E657A"/>
          <w:sz w:val="19"/>
        </w:rPr>
        <w:t>Reading: Stathis N. Kalyvas, “‘New’ and ‘Old’ Civil Wars: A Valid Distinction?”, World Politics 54(1), pp. 99–118.</w:t>
      </w:r>
    </w:p>
    <w:tbl>
      <w:tblPr>
        <w:tblW w:w="9360" w:type="dxa"/>
        <w:tblInd w:w="120" w:type="dxa"/>
        <w:tblBorders>
          <w:top w:val="single" w:sz="8" w:space="0" w:color="EF4DB6"/>
          <w:left w:val="single" w:sz="8" w:space="0" w:color="EF4DB6"/>
          <w:bottom w:val="single" w:sz="8" w:space="0" w:color="EF4DB6"/>
          <w:right w:val="single" w:sz="8" w:space="0" w:color="EF4DB6"/>
          <w:insideH w:val="single" w:sz="8" w:space="0" w:color="EF4DB6"/>
          <w:insideV w:val="single" w:sz="8" w:space="0" w:color="EF4DB6"/>
        </w:tblBorders>
        <w:tblLayout w:type="fixed"/>
        <w:tblLook w:val="04A0" w:firstRow="1" w:lastRow="0" w:firstColumn="1" w:lastColumn="0" w:noHBand="0" w:noVBand="1"/>
      </w:tblPr>
      <w:tblGrid>
        <w:gridCol w:w="9360"/>
      </w:tblGrid>
      <w:tr w:rsidR="002855CC" w14:paraId="3F3921F0" w14:textId="77777777">
        <w:tc>
          <w:tcPr>
            <w:tcW w:w="9360" w:type="dxa"/>
            <w:shd w:val="clear" w:color="auto" w:fill="FCECF7"/>
            <w:tcMar>
              <w:top w:w="100" w:type="dxa"/>
              <w:left w:w="120" w:type="dxa"/>
              <w:bottom w:w="100" w:type="dxa"/>
              <w:right w:w="120" w:type="dxa"/>
            </w:tcMar>
          </w:tcPr>
          <w:p w14:paraId="43AC2CA2" w14:textId="77777777" w:rsidR="002855CC" w:rsidRDefault="00000000">
            <w:pPr>
              <w:spacing w:after="0"/>
            </w:pPr>
            <w:r>
              <w:rPr>
                <w:b/>
                <w:color w:val="EF4DB6"/>
              </w:rPr>
              <w:t xml:space="preserve">Your task: </w:t>
            </w:r>
            <w:r>
              <w:t>This reading does not offer a conventional definition. Use it to identify what definitions may wrongly assume about motives, criminality and violence against civilians.</w:t>
            </w:r>
          </w:p>
        </w:tc>
      </w:tr>
    </w:tbl>
    <w:p w14:paraId="0DD7BAEC" w14:textId="77777777" w:rsidR="002855CC" w:rsidRDefault="002855CC">
      <w:pPr>
        <w:spacing w:after="40"/>
      </w:pPr>
    </w:p>
    <w:p w14:paraId="282AB532" w14:textId="77777777" w:rsidR="002855CC" w:rsidRDefault="00000000">
      <w:pPr>
        <w:keepNext/>
        <w:spacing w:after="60"/>
      </w:pPr>
      <w:r>
        <w:rPr>
          <w:b/>
          <w:color w:val="EF4DB6"/>
        </w:rPr>
        <w:t xml:space="preserve">Q1  </w:t>
      </w:r>
      <w:r>
        <w:rPr>
          <w:b/>
        </w:rPr>
        <w:t>What supposedly distinguishes contemporary “new wars” from older civil wars?</w:t>
      </w:r>
    </w:p>
    <w:p w14:paraId="09760141" w14:textId="77777777" w:rsidR="002855CC" w:rsidRDefault="00000000">
      <w:pPr>
        <w:pBdr>
          <w:bottom w:val="single" w:sz="4" w:space="3" w:color="D6DCE5"/>
        </w:pBdr>
        <w:spacing w:after="60" w:line="240" w:lineRule="auto"/>
      </w:pPr>
      <w:r>
        <w:t xml:space="preserve"> </w:t>
      </w:r>
    </w:p>
    <w:p w14:paraId="0F1AD609" w14:textId="77777777" w:rsidR="002855CC" w:rsidRDefault="00000000">
      <w:pPr>
        <w:keepNext/>
        <w:spacing w:after="60"/>
      </w:pPr>
      <w:r>
        <w:rPr>
          <w:b/>
          <w:color w:val="EF4DB6"/>
        </w:rPr>
        <w:t xml:space="preserve">Q2  </w:t>
      </w:r>
      <w:r>
        <w:rPr>
          <w:b/>
        </w:rPr>
        <w:t>Why does Kalyvas question whether these differences are genuinely new?</w:t>
      </w:r>
    </w:p>
    <w:p w14:paraId="1391CC52" w14:textId="77777777" w:rsidR="002855CC" w:rsidRDefault="00000000">
      <w:pPr>
        <w:pBdr>
          <w:bottom w:val="single" w:sz="4" w:space="3" w:color="D6DCE5"/>
        </w:pBdr>
        <w:spacing w:after="60" w:line="240" w:lineRule="auto"/>
      </w:pPr>
      <w:r>
        <w:t xml:space="preserve"> </w:t>
      </w:r>
    </w:p>
    <w:p w14:paraId="5B583057" w14:textId="77777777" w:rsidR="002855CC" w:rsidRDefault="00000000">
      <w:pPr>
        <w:keepNext/>
        <w:spacing w:after="60"/>
      </w:pPr>
      <w:r>
        <w:rPr>
          <w:b/>
          <w:color w:val="EF4DB6"/>
        </w:rPr>
        <w:t xml:space="preserve">Q3  </w:t>
      </w:r>
      <w:r>
        <w:rPr>
          <w:b/>
        </w:rPr>
        <w:t>Does looting, trafficking or private enrichment make an armed conflict non-political? Explain.</w:t>
      </w:r>
    </w:p>
    <w:p w14:paraId="61436F8A" w14:textId="77777777" w:rsidR="002855CC" w:rsidRDefault="00000000">
      <w:pPr>
        <w:pBdr>
          <w:bottom w:val="single" w:sz="4" w:space="3" w:color="D6DCE5"/>
        </w:pBdr>
        <w:spacing w:after="60" w:line="240" w:lineRule="auto"/>
      </w:pPr>
      <w:r>
        <w:t xml:space="preserve"> </w:t>
      </w:r>
    </w:p>
    <w:p w14:paraId="731AFD96" w14:textId="77777777" w:rsidR="002855CC" w:rsidRDefault="00000000">
      <w:pPr>
        <w:pBdr>
          <w:bottom w:val="single" w:sz="4" w:space="3" w:color="D6DCE5"/>
        </w:pBdr>
        <w:spacing w:after="60" w:line="240" w:lineRule="auto"/>
      </w:pPr>
      <w:r>
        <w:t xml:space="preserve"> </w:t>
      </w:r>
    </w:p>
    <w:p w14:paraId="6D7F5861" w14:textId="77777777" w:rsidR="002855CC" w:rsidRDefault="00000000">
      <w:pPr>
        <w:keepNext/>
        <w:spacing w:after="60"/>
      </w:pPr>
      <w:r>
        <w:rPr>
          <w:b/>
          <w:color w:val="EF4DB6"/>
        </w:rPr>
        <w:t xml:space="preserve">Q4  </w:t>
      </w:r>
      <w:r>
        <w:rPr>
          <w:b/>
        </w:rPr>
        <w:t>Can armed organisations pursue political and criminal objectives simultaneously?</w:t>
      </w:r>
    </w:p>
    <w:p w14:paraId="496E68DD" w14:textId="77777777" w:rsidR="002855CC" w:rsidRDefault="00000000">
      <w:pPr>
        <w:pBdr>
          <w:bottom w:val="single" w:sz="4" w:space="3" w:color="D6DCE5"/>
        </w:pBdr>
        <w:spacing w:after="60" w:line="240" w:lineRule="auto"/>
      </w:pPr>
      <w:r>
        <w:t xml:space="preserve"> </w:t>
      </w:r>
    </w:p>
    <w:p w14:paraId="2BB9C838" w14:textId="77777777" w:rsidR="002855CC" w:rsidRDefault="00000000">
      <w:pPr>
        <w:keepNext/>
        <w:spacing w:after="60"/>
      </w:pPr>
      <w:r>
        <w:rPr>
          <w:b/>
          <w:color w:val="EF4DB6"/>
        </w:rPr>
        <w:t xml:space="preserve">Q5  </w:t>
      </w:r>
      <w:r>
        <w:rPr>
          <w:b/>
        </w:rPr>
        <w:t>Does extreme violence against civilians distinguish “new” wars from older wars?</w:t>
      </w:r>
    </w:p>
    <w:p w14:paraId="1142CF55" w14:textId="77777777" w:rsidR="002855CC" w:rsidRDefault="00000000">
      <w:pPr>
        <w:pBdr>
          <w:bottom w:val="single" w:sz="4" w:space="3" w:color="D6DCE5"/>
        </w:pBdr>
        <w:spacing w:after="60" w:line="240" w:lineRule="auto"/>
      </w:pPr>
      <w:r>
        <w:t xml:space="preserve"> </w:t>
      </w:r>
    </w:p>
    <w:p w14:paraId="4B18B231" w14:textId="77777777" w:rsidR="002855CC" w:rsidRDefault="00000000">
      <w:pPr>
        <w:keepNext/>
        <w:spacing w:after="60"/>
      </w:pPr>
      <w:r>
        <w:rPr>
          <w:b/>
          <w:color w:val="EF4DB6"/>
        </w:rPr>
        <w:t xml:space="preserve">Q6  </w:t>
      </w:r>
      <w:r>
        <w:rPr>
          <w:b/>
        </w:rPr>
        <w:t>What warning should we add to any definition used to classify hybrid conflicts?</w:t>
      </w:r>
    </w:p>
    <w:p w14:paraId="0D78D221" w14:textId="77777777" w:rsidR="002855CC" w:rsidRDefault="00000000">
      <w:pPr>
        <w:pBdr>
          <w:bottom w:val="single" w:sz="4" w:space="3" w:color="D6DCE5"/>
        </w:pBdr>
        <w:spacing w:after="60" w:line="240" w:lineRule="auto"/>
      </w:pPr>
      <w:r>
        <w:t xml:space="preserve"> </w:t>
      </w:r>
    </w:p>
    <w:p w14:paraId="6F21E4AC" w14:textId="77777777" w:rsidR="002855CC" w:rsidRDefault="00000000">
      <w:pPr>
        <w:pBdr>
          <w:bottom w:val="single" w:sz="4" w:space="3" w:color="D6DCE5"/>
        </w:pBdr>
        <w:spacing w:after="60" w:line="240" w:lineRule="auto"/>
      </w:pPr>
      <w:r>
        <w:t xml:space="preserve"> </w:t>
      </w:r>
    </w:p>
    <w:p w14:paraId="024E8C88" w14:textId="77777777" w:rsidR="002855CC" w:rsidRDefault="00000000">
      <w:pPr>
        <w:keepNext/>
        <w:spacing w:before="40" w:after="60"/>
      </w:pPr>
      <w:r>
        <w:rPr>
          <w:b/>
          <w:color w:val="EF4DB6"/>
        </w:rPr>
        <w:t>Group 3 deliverable</w:t>
      </w:r>
    </w:p>
    <w:p w14:paraId="1A71DC0E" w14:textId="77777777" w:rsidR="002855CC" w:rsidRDefault="00000000">
      <w:pPr>
        <w:keepNext/>
        <w:spacing w:after="60"/>
      </w:pPr>
      <w:r>
        <w:rPr>
          <w:i/>
          <w:color w:val="5E657A"/>
          <w:sz w:val="19"/>
        </w:rPr>
        <w:t>Write two sentences explaining how a definition can recognise hybrid political-economic motives without classifying every criminal organisation as a civil-war party.</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1A48A1B8" w14:textId="77777777">
        <w:tc>
          <w:tcPr>
            <w:tcW w:w="9360" w:type="dxa"/>
            <w:shd w:val="clear" w:color="auto" w:fill="FCECF7"/>
            <w:tcMar>
              <w:top w:w="100" w:type="dxa"/>
              <w:left w:w="120" w:type="dxa"/>
              <w:bottom w:w="100" w:type="dxa"/>
              <w:right w:w="120" w:type="dxa"/>
            </w:tcMar>
          </w:tcPr>
          <w:p w14:paraId="1D13C3BB" w14:textId="77777777" w:rsidR="002855CC" w:rsidRDefault="00000000">
            <w:pPr>
              <w:spacing w:after="0"/>
            </w:pPr>
            <w:r>
              <w:rPr>
                <w:sz w:val="20"/>
              </w:rPr>
              <w:br/>
            </w:r>
            <w:r>
              <w:rPr>
                <w:sz w:val="20"/>
              </w:rPr>
              <w:br/>
            </w:r>
            <w:r>
              <w:rPr>
                <w:sz w:val="20"/>
              </w:rPr>
              <w:br/>
            </w:r>
            <w:r>
              <w:rPr>
                <w:sz w:val="20"/>
              </w:rPr>
              <w:br/>
            </w:r>
          </w:p>
        </w:tc>
      </w:tr>
    </w:tbl>
    <w:p w14:paraId="6F70DFF1" w14:textId="77777777" w:rsidR="002855CC" w:rsidRDefault="002855CC">
      <w:pPr>
        <w:spacing w:after="40"/>
      </w:pPr>
    </w:p>
    <w:p w14:paraId="584C010F" w14:textId="77777777" w:rsidR="002855CC" w:rsidRDefault="00000000">
      <w:r>
        <w:br w:type="page"/>
      </w:r>
    </w:p>
    <w:p w14:paraId="76D1747D"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27197642" w14:textId="77777777">
        <w:tc>
          <w:tcPr>
            <w:tcW w:w="9360" w:type="dxa"/>
            <w:shd w:val="clear" w:color="auto" w:fill="070A17"/>
            <w:tcMar>
              <w:top w:w="120" w:type="dxa"/>
              <w:left w:w="220" w:type="dxa"/>
              <w:bottom w:w="140" w:type="dxa"/>
              <w:right w:w="220" w:type="dxa"/>
            </w:tcMar>
          </w:tcPr>
          <w:p w14:paraId="5C6EC9A8" w14:textId="77777777" w:rsidR="002855CC" w:rsidRDefault="00000000">
            <w:r>
              <w:rPr>
                <w:b/>
                <w:color w:val="39D7E8"/>
                <w:sz w:val="16"/>
              </w:rPr>
              <w:t>ANALYSIS OF INTERNAL CONFLICT</w:t>
            </w:r>
            <w:r>
              <w:rPr>
                <w:b/>
                <w:color w:val="FFFFFF"/>
                <w:sz w:val="16"/>
              </w:rPr>
              <w:t xml:space="preserve">   |   SESSION 2:1  ·  UR / EESPI</w:t>
            </w:r>
          </w:p>
          <w:p w14:paraId="213B219A" w14:textId="77777777" w:rsidR="002855CC" w:rsidRDefault="00000000">
            <w:pPr>
              <w:spacing w:after="100"/>
            </w:pPr>
            <w:r>
              <w:rPr>
                <w:b/>
                <w:color w:val="EF4DB6"/>
                <w:sz w:val="18"/>
              </w:rPr>
              <w:t>WHOLE-CLASS SYNTHESIS</w:t>
            </w:r>
          </w:p>
          <w:p w14:paraId="7484D62D" w14:textId="77777777" w:rsidR="002855CC" w:rsidRDefault="00000000">
            <w:pPr>
              <w:spacing w:after="100"/>
            </w:pPr>
            <w:r>
              <w:rPr>
                <w:b/>
                <w:color w:val="FFFFFF"/>
                <w:sz w:val="42"/>
              </w:rPr>
              <w:t>Build a shared definition</w:t>
            </w:r>
          </w:p>
        </w:tc>
      </w:tr>
    </w:tbl>
    <w:p w14:paraId="16DA89D6" w14:textId="77777777" w:rsidR="002855CC" w:rsidRDefault="002855CC">
      <w:pPr>
        <w:spacing w:after="40"/>
      </w:pPr>
    </w:p>
    <w:p w14:paraId="58E691A2" w14:textId="582DDCE3" w:rsidR="002855CC" w:rsidRDefault="00000000">
      <w:pPr>
        <w:spacing w:after="180"/>
      </w:pPr>
      <w:r>
        <w:t xml:space="preserve">As each group reports, record its contribution. </w:t>
      </w:r>
      <w:r w:rsidR="006829EF">
        <w:t>Please note that e</w:t>
      </w:r>
      <w:r>
        <w:t>ach reading addresses a different part of the problem.</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00"/>
        <w:gridCol w:w="2450"/>
        <w:gridCol w:w="2700"/>
        <w:gridCol w:w="3310"/>
      </w:tblGrid>
      <w:tr w:rsidR="002855CC" w14:paraId="21E6EA97" w14:textId="77777777">
        <w:trPr>
          <w:tblHeader/>
        </w:trPr>
        <w:tc>
          <w:tcPr>
            <w:tcW w:w="900" w:type="dxa"/>
            <w:shd w:val="clear" w:color="auto" w:fill="101426"/>
            <w:tcMar>
              <w:top w:w="100" w:type="dxa"/>
              <w:left w:w="120" w:type="dxa"/>
              <w:bottom w:w="100" w:type="dxa"/>
              <w:right w:w="120" w:type="dxa"/>
            </w:tcMar>
            <w:vAlign w:val="center"/>
          </w:tcPr>
          <w:p w14:paraId="206DEB37" w14:textId="77777777" w:rsidR="002855CC" w:rsidRDefault="00000000">
            <w:pPr>
              <w:spacing w:after="0" w:line="264" w:lineRule="auto"/>
            </w:pPr>
            <w:r>
              <w:rPr>
                <w:b/>
                <w:color w:val="FFFFFF"/>
                <w:sz w:val="16"/>
              </w:rPr>
              <w:t>GROUP</w:t>
            </w:r>
          </w:p>
        </w:tc>
        <w:tc>
          <w:tcPr>
            <w:tcW w:w="2450" w:type="dxa"/>
            <w:shd w:val="clear" w:color="auto" w:fill="101426"/>
            <w:tcMar>
              <w:top w:w="100" w:type="dxa"/>
              <w:left w:w="120" w:type="dxa"/>
              <w:bottom w:w="100" w:type="dxa"/>
              <w:right w:w="120" w:type="dxa"/>
            </w:tcMar>
            <w:vAlign w:val="center"/>
          </w:tcPr>
          <w:p w14:paraId="33E55E05" w14:textId="77777777" w:rsidR="002855CC" w:rsidRDefault="00000000">
            <w:pPr>
              <w:spacing w:after="0" w:line="264" w:lineRule="auto"/>
            </w:pPr>
            <w:r>
              <w:rPr>
                <w:b/>
                <w:color w:val="FFFFFF"/>
                <w:sz w:val="16"/>
              </w:rPr>
              <w:t>PROPOSED DEFINITION</w:t>
            </w:r>
          </w:p>
        </w:tc>
        <w:tc>
          <w:tcPr>
            <w:tcW w:w="2700" w:type="dxa"/>
            <w:shd w:val="clear" w:color="auto" w:fill="101426"/>
            <w:tcMar>
              <w:top w:w="100" w:type="dxa"/>
              <w:left w:w="120" w:type="dxa"/>
              <w:bottom w:w="100" w:type="dxa"/>
              <w:right w:w="120" w:type="dxa"/>
            </w:tcMar>
            <w:vAlign w:val="center"/>
          </w:tcPr>
          <w:p w14:paraId="0154B2C6" w14:textId="77777777" w:rsidR="002855CC" w:rsidRDefault="00000000">
            <w:pPr>
              <w:spacing w:after="0" w:line="264" w:lineRule="auto"/>
            </w:pPr>
            <w:r>
              <w:rPr>
                <w:b/>
                <w:color w:val="FFFFFF"/>
                <w:sz w:val="16"/>
              </w:rPr>
              <w:t>KEY CRITERIA</w:t>
            </w:r>
          </w:p>
        </w:tc>
        <w:tc>
          <w:tcPr>
            <w:tcW w:w="3310" w:type="dxa"/>
            <w:shd w:val="clear" w:color="auto" w:fill="101426"/>
            <w:tcMar>
              <w:top w:w="100" w:type="dxa"/>
              <w:left w:w="120" w:type="dxa"/>
              <w:bottom w:w="100" w:type="dxa"/>
              <w:right w:w="120" w:type="dxa"/>
            </w:tcMar>
            <w:vAlign w:val="center"/>
          </w:tcPr>
          <w:p w14:paraId="295AF7F3" w14:textId="77777777" w:rsidR="002855CC" w:rsidRDefault="00000000">
            <w:pPr>
              <w:spacing w:after="0" w:line="264" w:lineRule="auto"/>
            </w:pPr>
            <w:r>
              <w:rPr>
                <w:b/>
                <w:color w:val="FFFFFF"/>
                <w:sz w:val="16"/>
              </w:rPr>
              <w:t>EXCLUDED OR AMBIGUOUS</w:t>
            </w:r>
          </w:p>
        </w:tc>
      </w:tr>
      <w:tr w:rsidR="002855CC" w14:paraId="63F3227D" w14:textId="77777777">
        <w:tc>
          <w:tcPr>
            <w:tcW w:w="900" w:type="dxa"/>
            <w:tcMar>
              <w:top w:w="100" w:type="dxa"/>
              <w:left w:w="120" w:type="dxa"/>
              <w:bottom w:w="100" w:type="dxa"/>
              <w:right w:w="120" w:type="dxa"/>
            </w:tcMar>
            <w:vAlign w:val="center"/>
          </w:tcPr>
          <w:p w14:paraId="32C26282" w14:textId="77777777" w:rsidR="002855CC" w:rsidRDefault="00000000">
            <w:pPr>
              <w:spacing w:after="0" w:line="264" w:lineRule="auto"/>
              <w:jc w:val="center"/>
            </w:pPr>
            <w:r>
              <w:rPr>
                <w:b/>
                <w:color w:val="EF4DB6"/>
                <w:sz w:val="20"/>
              </w:rPr>
              <w:t>1</w:t>
            </w:r>
          </w:p>
        </w:tc>
        <w:tc>
          <w:tcPr>
            <w:tcW w:w="2450" w:type="dxa"/>
            <w:tcMar>
              <w:top w:w="100" w:type="dxa"/>
              <w:left w:w="120" w:type="dxa"/>
              <w:bottom w:w="100" w:type="dxa"/>
              <w:right w:w="120" w:type="dxa"/>
            </w:tcMar>
          </w:tcPr>
          <w:p w14:paraId="6649E789" w14:textId="77777777" w:rsidR="002855CC" w:rsidRDefault="00000000">
            <w:pPr>
              <w:spacing w:after="0"/>
            </w:pPr>
            <w:r>
              <w:rPr>
                <w:sz w:val="18"/>
              </w:rPr>
              <w:br/>
            </w:r>
            <w:r>
              <w:rPr>
                <w:sz w:val="18"/>
              </w:rPr>
              <w:br/>
            </w:r>
          </w:p>
        </w:tc>
        <w:tc>
          <w:tcPr>
            <w:tcW w:w="2700" w:type="dxa"/>
            <w:tcMar>
              <w:top w:w="100" w:type="dxa"/>
              <w:left w:w="120" w:type="dxa"/>
              <w:bottom w:w="100" w:type="dxa"/>
              <w:right w:w="120" w:type="dxa"/>
            </w:tcMar>
          </w:tcPr>
          <w:p w14:paraId="3C444DD8" w14:textId="77777777" w:rsidR="002855CC" w:rsidRDefault="00000000">
            <w:pPr>
              <w:spacing w:after="0"/>
            </w:pPr>
            <w:r>
              <w:rPr>
                <w:sz w:val="18"/>
              </w:rPr>
              <w:br/>
            </w:r>
            <w:r>
              <w:rPr>
                <w:sz w:val="18"/>
              </w:rPr>
              <w:br/>
            </w:r>
          </w:p>
        </w:tc>
        <w:tc>
          <w:tcPr>
            <w:tcW w:w="3310" w:type="dxa"/>
            <w:tcMar>
              <w:top w:w="100" w:type="dxa"/>
              <w:left w:w="120" w:type="dxa"/>
              <w:bottom w:w="100" w:type="dxa"/>
              <w:right w:w="120" w:type="dxa"/>
            </w:tcMar>
          </w:tcPr>
          <w:p w14:paraId="236B3C40" w14:textId="77777777" w:rsidR="002855CC" w:rsidRDefault="00000000">
            <w:pPr>
              <w:spacing w:after="0"/>
            </w:pPr>
            <w:r>
              <w:rPr>
                <w:sz w:val="18"/>
              </w:rPr>
              <w:br/>
            </w:r>
            <w:r>
              <w:rPr>
                <w:sz w:val="18"/>
              </w:rPr>
              <w:br/>
            </w:r>
          </w:p>
        </w:tc>
      </w:tr>
      <w:tr w:rsidR="002855CC" w14:paraId="7EF36BB9" w14:textId="77777777">
        <w:tc>
          <w:tcPr>
            <w:tcW w:w="900" w:type="dxa"/>
            <w:shd w:val="clear" w:color="auto" w:fill="F3F5F8"/>
            <w:tcMar>
              <w:top w:w="100" w:type="dxa"/>
              <w:left w:w="120" w:type="dxa"/>
              <w:bottom w:w="100" w:type="dxa"/>
              <w:right w:w="120" w:type="dxa"/>
            </w:tcMar>
            <w:vAlign w:val="center"/>
          </w:tcPr>
          <w:p w14:paraId="017EFAF1" w14:textId="77777777" w:rsidR="002855CC" w:rsidRDefault="00000000">
            <w:pPr>
              <w:spacing w:after="0" w:line="264" w:lineRule="auto"/>
              <w:jc w:val="center"/>
            </w:pPr>
            <w:r>
              <w:rPr>
                <w:b/>
                <w:color w:val="EF4DB6"/>
                <w:sz w:val="20"/>
              </w:rPr>
              <w:t>2</w:t>
            </w:r>
          </w:p>
        </w:tc>
        <w:tc>
          <w:tcPr>
            <w:tcW w:w="2450" w:type="dxa"/>
            <w:shd w:val="clear" w:color="auto" w:fill="F3F5F8"/>
            <w:tcMar>
              <w:top w:w="100" w:type="dxa"/>
              <w:left w:w="120" w:type="dxa"/>
              <w:bottom w:w="100" w:type="dxa"/>
              <w:right w:w="120" w:type="dxa"/>
            </w:tcMar>
          </w:tcPr>
          <w:p w14:paraId="7F6DA7BE" w14:textId="77777777" w:rsidR="002855CC" w:rsidRDefault="00000000">
            <w:pPr>
              <w:spacing w:after="0"/>
            </w:pPr>
            <w:r>
              <w:rPr>
                <w:sz w:val="18"/>
              </w:rPr>
              <w:br/>
            </w:r>
            <w:r>
              <w:rPr>
                <w:sz w:val="18"/>
              </w:rPr>
              <w:br/>
            </w:r>
          </w:p>
        </w:tc>
        <w:tc>
          <w:tcPr>
            <w:tcW w:w="2700" w:type="dxa"/>
            <w:shd w:val="clear" w:color="auto" w:fill="F3F5F8"/>
            <w:tcMar>
              <w:top w:w="100" w:type="dxa"/>
              <w:left w:w="120" w:type="dxa"/>
              <w:bottom w:w="100" w:type="dxa"/>
              <w:right w:w="120" w:type="dxa"/>
            </w:tcMar>
          </w:tcPr>
          <w:p w14:paraId="2CC92D12" w14:textId="77777777" w:rsidR="002855CC" w:rsidRDefault="00000000">
            <w:pPr>
              <w:spacing w:after="0"/>
            </w:pPr>
            <w:r>
              <w:rPr>
                <w:sz w:val="18"/>
              </w:rPr>
              <w:br/>
            </w:r>
            <w:r>
              <w:rPr>
                <w:sz w:val="18"/>
              </w:rPr>
              <w:br/>
            </w:r>
          </w:p>
        </w:tc>
        <w:tc>
          <w:tcPr>
            <w:tcW w:w="3310" w:type="dxa"/>
            <w:shd w:val="clear" w:color="auto" w:fill="F3F5F8"/>
            <w:tcMar>
              <w:top w:w="100" w:type="dxa"/>
              <w:left w:w="120" w:type="dxa"/>
              <w:bottom w:w="100" w:type="dxa"/>
              <w:right w:w="120" w:type="dxa"/>
            </w:tcMar>
          </w:tcPr>
          <w:p w14:paraId="3CD2D2F2" w14:textId="77777777" w:rsidR="002855CC" w:rsidRDefault="00000000">
            <w:pPr>
              <w:spacing w:after="0"/>
            </w:pPr>
            <w:r>
              <w:rPr>
                <w:sz w:val="18"/>
              </w:rPr>
              <w:br/>
            </w:r>
            <w:r>
              <w:rPr>
                <w:sz w:val="18"/>
              </w:rPr>
              <w:br/>
            </w:r>
          </w:p>
        </w:tc>
      </w:tr>
      <w:tr w:rsidR="002855CC" w14:paraId="2B8AE8ED" w14:textId="77777777">
        <w:tc>
          <w:tcPr>
            <w:tcW w:w="900" w:type="dxa"/>
            <w:tcMar>
              <w:top w:w="100" w:type="dxa"/>
              <w:left w:w="120" w:type="dxa"/>
              <w:bottom w:w="100" w:type="dxa"/>
              <w:right w:w="120" w:type="dxa"/>
            </w:tcMar>
            <w:vAlign w:val="center"/>
          </w:tcPr>
          <w:p w14:paraId="5B7881EE" w14:textId="77777777" w:rsidR="002855CC" w:rsidRDefault="00000000">
            <w:pPr>
              <w:spacing w:after="0" w:line="264" w:lineRule="auto"/>
              <w:jc w:val="center"/>
            </w:pPr>
            <w:r>
              <w:rPr>
                <w:b/>
                <w:color w:val="EF4DB6"/>
                <w:sz w:val="20"/>
              </w:rPr>
              <w:t>3</w:t>
            </w:r>
          </w:p>
        </w:tc>
        <w:tc>
          <w:tcPr>
            <w:tcW w:w="2450" w:type="dxa"/>
            <w:tcMar>
              <w:top w:w="100" w:type="dxa"/>
              <w:left w:w="120" w:type="dxa"/>
              <w:bottom w:w="100" w:type="dxa"/>
              <w:right w:w="120" w:type="dxa"/>
            </w:tcMar>
          </w:tcPr>
          <w:p w14:paraId="391D6CB1" w14:textId="77777777" w:rsidR="002855CC" w:rsidRDefault="00000000">
            <w:pPr>
              <w:spacing w:after="0"/>
            </w:pPr>
            <w:r>
              <w:rPr>
                <w:sz w:val="18"/>
              </w:rPr>
              <w:br/>
            </w:r>
            <w:r>
              <w:rPr>
                <w:sz w:val="18"/>
              </w:rPr>
              <w:br/>
            </w:r>
          </w:p>
        </w:tc>
        <w:tc>
          <w:tcPr>
            <w:tcW w:w="2700" w:type="dxa"/>
            <w:tcMar>
              <w:top w:w="100" w:type="dxa"/>
              <w:left w:w="120" w:type="dxa"/>
              <w:bottom w:w="100" w:type="dxa"/>
              <w:right w:w="120" w:type="dxa"/>
            </w:tcMar>
          </w:tcPr>
          <w:p w14:paraId="38DF84FD" w14:textId="77777777" w:rsidR="002855CC" w:rsidRDefault="00000000">
            <w:pPr>
              <w:spacing w:after="0"/>
            </w:pPr>
            <w:r>
              <w:rPr>
                <w:sz w:val="18"/>
              </w:rPr>
              <w:br/>
            </w:r>
            <w:r>
              <w:rPr>
                <w:sz w:val="18"/>
              </w:rPr>
              <w:br/>
            </w:r>
          </w:p>
        </w:tc>
        <w:tc>
          <w:tcPr>
            <w:tcW w:w="3310" w:type="dxa"/>
            <w:tcMar>
              <w:top w:w="100" w:type="dxa"/>
              <w:left w:w="120" w:type="dxa"/>
              <w:bottom w:w="100" w:type="dxa"/>
              <w:right w:w="120" w:type="dxa"/>
            </w:tcMar>
          </w:tcPr>
          <w:p w14:paraId="71FDAAB5" w14:textId="77777777" w:rsidR="002855CC" w:rsidRDefault="00000000">
            <w:pPr>
              <w:spacing w:after="0"/>
            </w:pPr>
            <w:r>
              <w:rPr>
                <w:sz w:val="18"/>
              </w:rPr>
              <w:br/>
            </w:r>
            <w:r>
              <w:rPr>
                <w:sz w:val="18"/>
              </w:rPr>
              <w:br/>
            </w:r>
          </w:p>
        </w:tc>
      </w:tr>
    </w:tbl>
    <w:p w14:paraId="0B1699A7" w14:textId="77777777" w:rsidR="002855CC" w:rsidRDefault="002855CC">
      <w:pPr>
        <w:spacing w:after="60"/>
      </w:pPr>
    </w:p>
    <w:p w14:paraId="7D114F11" w14:textId="77777777" w:rsidR="002855CC" w:rsidRDefault="00000000">
      <w:pPr>
        <w:pStyle w:val="Heading2"/>
      </w:pPr>
      <w:r>
        <w:rPr>
          <w:rFonts w:ascii="Calibri" w:hAnsi="Calibri"/>
        </w:rPr>
        <w:t>Our provisional class definition</w:t>
      </w:r>
    </w:p>
    <w:p w14:paraId="1C13303F" w14:textId="77777777" w:rsidR="002855CC" w:rsidRDefault="00000000">
      <w:pPr>
        <w:keepNext/>
        <w:spacing w:before="40" w:after="60"/>
      </w:pPr>
      <w:r>
        <w:rPr>
          <w:b/>
          <w:color w:val="EF4DB6"/>
        </w:rPr>
        <w:t>Civil war is…</w:t>
      </w:r>
    </w:p>
    <w:p w14:paraId="272E981C" w14:textId="77777777" w:rsidR="002855CC" w:rsidRDefault="00000000">
      <w:pPr>
        <w:keepNext/>
        <w:spacing w:after="60"/>
      </w:pPr>
      <w:r>
        <w:rPr>
          <w:i/>
          <w:color w:val="5E657A"/>
          <w:sz w:val="19"/>
        </w:rPr>
        <w:t>Combine the conceptual elements, the observable criteria and the complications identified by the groups.</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0913616E" w14:textId="77777777">
        <w:tc>
          <w:tcPr>
            <w:tcW w:w="9360" w:type="dxa"/>
            <w:shd w:val="clear" w:color="auto" w:fill="EAFBFD"/>
            <w:tcMar>
              <w:top w:w="100" w:type="dxa"/>
              <w:left w:w="120" w:type="dxa"/>
              <w:bottom w:w="100" w:type="dxa"/>
              <w:right w:w="120" w:type="dxa"/>
            </w:tcMar>
          </w:tcPr>
          <w:p w14:paraId="418E3EFE" w14:textId="77777777" w:rsidR="002855CC" w:rsidRDefault="00000000">
            <w:pPr>
              <w:spacing w:after="0"/>
            </w:pPr>
            <w:r>
              <w:rPr>
                <w:sz w:val="20"/>
              </w:rPr>
              <w:br/>
            </w:r>
            <w:r>
              <w:rPr>
                <w:sz w:val="20"/>
              </w:rPr>
              <w:br/>
            </w:r>
          </w:p>
        </w:tc>
      </w:tr>
    </w:tbl>
    <w:p w14:paraId="478D738E" w14:textId="77777777" w:rsidR="002855CC" w:rsidRDefault="002855CC">
      <w:pPr>
        <w:spacing w:after="40"/>
      </w:pPr>
    </w:p>
    <w:p w14:paraId="1896EA13" w14:textId="77777777" w:rsidR="002855CC" w:rsidRDefault="00000000">
      <w:pPr>
        <w:keepNext/>
        <w:spacing w:before="40" w:after="60"/>
      </w:pPr>
      <w:r>
        <w:rPr>
          <w:b/>
          <w:color w:val="EF4DB6"/>
        </w:rPr>
        <w:t>Evidence required</w:t>
      </w:r>
    </w:p>
    <w:p w14:paraId="709EAC6C" w14:textId="77777777" w:rsidR="002855CC" w:rsidRDefault="00000000">
      <w:pPr>
        <w:keepNext/>
        <w:spacing w:after="60"/>
      </w:pPr>
      <w:r>
        <w:rPr>
          <w:i/>
          <w:color w:val="5E657A"/>
          <w:sz w:val="19"/>
        </w:rPr>
        <w:t>To classify a case as civil war, we would need evidence of…</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2D1AD244" w14:textId="77777777">
        <w:tc>
          <w:tcPr>
            <w:tcW w:w="9360" w:type="dxa"/>
            <w:shd w:val="clear" w:color="auto" w:fill="F3F5F8"/>
            <w:tcMar>
              <w:top w:w="100" w:type="dxa"/>
              <w:left w:w="120" w:type="dxa"/>
              <w:bottom w:w="100" w:type="dxa"/>
              <w:right w:w="120" w:type="dxa"/>
            </w:tcMar>
          </w:tcPr>
          <w:p w14:paraId="12499D0E" w14:textId="77777777" w:rsidR="002855CC" w:rsidRDefault="00000000">
            <w:pPr>
              <w:spacing w:after="0"/>
            </w:pPr>
            <w:r>
              <w:rPr>
                <w:sz w:val="20"/>
              </w:rPr>
              <w:br/>
            </w:r>
          </w:p>
        </w:tc>
      </w:tr>
    </w:tbl>
    <w:p w14:paraId="79014CAC" w14:textId="77777777" w:rsidR="002855CC" w:rsidRDefault="002855CC">
      <w:pPr>
        <w:spacing w:after="40"/>
      </w:pPr>
    </w:p>
    <w:p w14:paraId="41E757BF" w14:textId="77777777" w:rsidR="002855CC" w:rsidRDefault="00000000">
      <w:pPr>
        <w:keepNext/>
        <w:spacing w:before="40" w:after="60"/>
      </w:pPr>
      <w:r>
        <w:rPr>
          <w:b/>
          <w:color w:val="EF4DB6"/>
        </w:rPr>
        <w:t>Remaining disagreement</w:t>
      </w:r>
    </w:p>
    <w:p w14:paraId="631E1E90" w14:textId="77777777" w:rsidR="002855CC" w:rsidRDefault="00000000">
      <w:pPr>
        <w:keepNext/>
        <w:spacing w:after="60"/>
      </w:pPr>
      <w:r>
        <w:rPr>
          <w:i/>
          <w:color w:val="5E657A"/>
          <w:sz w:val="19"/>
        </w:rPr>
        <w:t>Which element of the definition is still contested?</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089C5554" w14:textId="77777777">
        <w:tc>
          <w:tcPr>
            <w:tcW w:w="9360" w:type="dxa"/>
            <w:shd w:val="clear" w:color="auto" w:fill="FCECF7"/>
            <w:tcMar>
              <w:top w:w="100" w:type="dxa"/>
              <w:left w:w="120" w:type="dxa"/>
              <w:bottom w:w="100" w:type="dxa"/>
              <w:right w:w="120" w:type="dxa"/>
            </w:tcMar>
          </w:tcPr>
          <w:p w14:paraId="158774E6" w14:textId="77777777" w:rsidR="002855CC" w:rsidRDefault="002855CC">
            <w:pPr>
              <w:spacing w:after="0"/>
            </w:pPr>
          </w:p>
        </w:tc>
      </w:tr>
    </w:tbl>
    <w:p w14:paraId="70822CB6" w14:textId="77777777" w:rsidR="002855CC" w:rsidRDefault="002855CC">
      <w:pPr>
        <w:spacing w:after="40"/>
      </w:pPr>
    </w:p>
    <w:p w14:paraId="4CFA40F8" w14:textId="77777777" w:rsidR="002855CC" w:rsidRDefault="00000000">
      <w:r>
        <w:br w:type="page"/>
      </w:r>
    </w:p>
    <w:p w14:paraId="379B57DD"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3EEBB5F9" w14:textId="77777777">
        <w:tc>
          <w:tcPr>
            <w:tcW w:w="9360" w:type="dxa"/>
            <w:shd w:val="clear" w:color="auto" w:fill="070A17"/>
            <w:tcMar>
              <w:top w:w="120" w:type="dxa"/>
              <w:left w:w="220" w:type="dxa"/>
              <w:bottom w:w="140" w:type="dxa"/>
              <w:right w:w="220" w:type="dxa"/>
            </w:tcMar>
          </w:tcPr>
          <w:p w14:paraId="5D869718" w14:textId="77777777" w:rsidR="002855CC" w:rsidRDefault="00000000">
            <w:r>
              <w:rPr>
                <w:b/>
                <w:color w:val="39D7E8"/>
                <w:sz w:val="16"/>
              </w:rPr>
              <w:t>ANALYSIS OF INTERNAL CONFLICT</w:t>
            </w:r>
            <w:r>
              <w:rPr>
                <w:b/>
                <w:color w:val="FFFFFF"/>
                <w:sz w:val="16"/>
              </w:rPr>
              <w:t xml:space="preserve">   |   SESSION 2:1  ·  UR / EESPI</w:t>
            </w:r>
          </w:p>
          <w:p w14:paraId="0F5F5D72" w14:textId="77777777" w:rsidR="002855CC" w:rsidRDefault="00000000">
            <w:pPr>
              <w:spacing w:after="100"/>
            </w:pPr>
            <w:r>
              <w:rPr>
                <w:b/>
                <w:color w:val="EF4DB6"/>
                <w:sz w:val="18"/>
              </w:rPr>
              <w:t>BOUNDARY LENS</w:t>
            </w:r>
          </w:p>
          <w:p w14:paraId="58909D34" w14:textId="2174ED19" w:rsidR="002855CC" w:rsidRDefault="00000000">
            <w:pPr>
              <w:spacing w:after="100"/>
            </w:pPr>
            <w:r>
              <w:rPr>
                <w:b/>
                <w:color w:val="FFFFFF"/>
                <w:sz w:val="42"/>
              </w:rPr>
              <w:t xml:space="preserve">The missing category? </w:t>
            </w:r>
          </w:p>
        </w:tc>
      </w:tr>
    </w:tbl>
    <w:p w14:paraId="73B0E260" w14:textId="77777777" w:rsidR="002855CC" w:rsidRDefault="002855CC">
      <w:pPr>
        <w:spacing w:after="40"/>
      </w:pPr>
    </w:p>
    <w:p w14:paraId="63E983AB" w14:textId="77777777" w:rsidR="002855CC" w:rsidRDefault="00000000">
      <w:pPr>
        <w:spacing w:after="160"/>
      </w:pPr>
      <w:r>
        <w:t>Ramsbotham, Woodhouse and Miall propose a provisional typology of non-interstate conflicts. Their third category challenges definitions that assume every armed organisation seeks ideological revolution or secession.</w:t>
      </w:r>
    </w:p>
    <w:tbl>
      <w:tblPr>
        <w:tblW w:w="9360" w:type="dxa"/>
        <w:tblInd w:w="120" w:type="dxa"/>
        <w:tblBorders>
          <w:top w:val="single" w:sz="8" w:space="0" w:color="EF4DB6"/>
          <w:left w:val="single" w:sz="8" w:space="0" w:color="EF4DB6"/>
          <w:bottom w:val="single" w:sz="8" w:space="0" w:color="EF4DB6"/>
          <w:right w:val="single" w:sz="8" w:space="0" w:color="EF4DB6"/>
          <w:insideH w:val="single" w:sz="8" w:space="0" w:color="EF4DB6"/>
          <w:insideV w:val="single" w:sz="8" w:space="0" w:color="EF4DB6"/>
        </w:tblBorders>
        <w:tblLayout w:type="fixed"/>
        <w:tblLook w:val="04A0" w:firstRow="1" w:lastRow="0" w:firstColumn="1" w:lastColumn="0" w:noHBand="0" w:noVBand="1"/>
      </w:tblPr>
      <w:tblGrid>
        <w:gridCol w:w="9360"/>
      </w:tblGrid>
      <w:tr w:rsidR="002855CC" w14:paraId="47A2CBD3" w14:textId="77777777">
        <w:tc>
          <w:tcPr>
            <w:tcW w:w="9360" w:type="dxa"/>
            <w:shd w:val="clear" w:color="auto" w:fill="FCECF7"/>
            <w:tcMar>
              <w:top w:w="100" w:type="dxa"/>
              <w:left w:w="120" w:type="dxa"/>
              <w:bottom w:w="100" w:type="dxa"/>
              <w:right w:w="120" w:type="dxa"/>
            </w:tcMar>
          </w:tcPr>
          <w:p w14:paraId="106D2EA3" w14:textId="77777777" w:rsidR="002855CC" w:rsidRDefault="00000000">
            <w:pPr>
              <w:spacing w:after="0"/>
            </w:pPr>
            <w:r>
              <w:rPr>
                <w:b/>
                <w:color w:val="EF4DB6"/>
              </w:rPr>
              <w:t xml:space="preserve">Short extract: </w:t>
            </w:r>
            <w:r>
              <w:t>Factional conflict centres on “the competing interests or power-struggles of political or criminal factions” (Ramsbotham et al., 2005, p. 30).</w:t>
            </w:r>
          </w:p>
        </w:tc>
      </w:tr>
    </w:tbl>
    <w:p w14:paraId="4B7248B9" w14:textId="77777777" w:rsidR="002855CC" w:rsidRDefault="002855CC">
      <w:pPr>
        <w:spacing w:after="40"/>
      </w:pP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2600"/>
        <w:gridCol w:w="3380"/>
        <w:gridCol w:w="3380"/>
      </w:tblGrid>
      <w:tr w:rsidR="002855CC" w14:paraId="202BAD4F" w14:textId="77777777">
        <w:trPr>
          <w:tblHeader/>
        </w:trPr>
        <w:tc>
          <w:tcPr>
            <w:tcW w:w="2600" w:type="dxa"/>
            <w:shd w:val="clear" w:color="auto" w:fill="101426"/>
            <w:tcMar>
              <w:top w:w="100" w:type="dxa"/>
              <w:left w:w="120" w:type="dxa"/>
              <w:bottom w:w="100" w:type="dxa"/>
              <w:right w:w="120" w:type="dxa"/>
            </w:tcMar>
            <w:vAlign w:val="center"/>
          </w:tcPr>
          <w:p w14:paraId="7A5CD0B2" w14:textId="77777777" w:rsidR="002855CC" w:rsidRDefault="00000000">
            <w:pPr>
              <w:spacing w:after="0" w:line="264" w:lineRule="auto"/>
            </w:pPr>
            <w:r>
              <w:rPr>
                <w:b/>
                <w:color w:val="FFFFFF"/>
                <w:sz w:val="16"/>
              </w:rPr>
              <w:t>CONFLICT TYPE</w:t>
            </w:r>
          </w:p>
        </w:tc>
        <w:tc>
          <w:tcPr>
            <w:tcW w:w="3380" w:type="dxa"/>
            <w:shd w:val="clear" w:color="auto" w:fill="101426"/>
            <w:tcMar>
              <w:top w:w="100" w:type="dxa"/>
              <w:left w:w="120" w:type="dxa"/>
              <w:bottom w:w="100" w:type="dxa"/>
              <w:right w:w="120" w:type="dxa"/>
            </w:tcMar>
            <w:vAlign w:val="center"/>
          </w:tcPr>
          <w:p w14:paraId="55BF47A8" w14:textId="77777777" w:rsidR="002855CC" w:rsidRDefault="00000000">
            <w:pPr>
              <w:spacing w:after="0" w:line="264" w:lineRule="auto"/>
            </w:pPr>
            <w:r>
              <w:rPr>
                <w:b/>
                <w:color w:val="FFFFFF"/>
                <w:sz w:val="16"/>
              </w:rPr>
              <w:t>CENTRAL OBJECTIVE</w:t>
            </w:r>
          </w:p>
        </w:tc>
        <w:tc>
          <w:tcPr>
            <w:tcW w:w="3380" w:type="dxa"/>
            <w:shd w:val="clear" w:color="auto" w:fill="101426"/>
            <w:tcMar>
              <w:top w:w="100" w:type="dxa"/>
              <w:left w:w="120" w:type="dxa"/>
              <w:bottom w:w="100" w:type="dxa"/>
              <w:right w:w="120" w:type="dxa"/>
            </w:tcMar>
            <w:vAlign w:val="center"/>
          </w:tcPr>
          <w:p w14:paraId="262CCFC6" w14:textId="77777777" w:rsidR="002855CC" w:rsidRDefault="00000000">
            <w:pPr>
              <w:spacing w:after="0" w:line="264" w:lineRule="auto"/>
            </w:pPr>
            <w:r>
              <w:rPr>
                <w:b/>
                <w:color w:val="FFFFFF"/>
                <w:sz w:val="16"/>
              </w:rPr>
              <w:t>ILLUSTRATIVE QUESTION</w:t>
            </w:r>
          </w:p>
        </w:tc>
      </w:tr>
      <w:tr w:rsidR="002855CC" w14:paraId="785CB312" w14:textId="77777777">
        <w:tc>
          <w:tcPr>
            <w:tcW w:w="2600" w:type="dxa"/>
            <w:tcMar>
              <w:top w:w="100" w:type="dxa"/>
              <w:left w:w="120" w:type="dxa"/>
              <w:bottom w:w="100" w:type="dxa"/>
              <w:right w:w="120" w:type="dxa"/>
            </w:tcMar>
            <w:vAlign w:val="center"/>
          </w:tcPr>
          <w:p w14:paraId="46A46306" w14:textId="77777777" w:rsidR="002855CC" w:rsidRDefault="00000000">
            <w:pPr>
              <w:spacing w:after="0" w:line="264" w:lineRule="auto"/>
            </w:pPr>
            <w:r>
              <w:rPr>
                <w:b/>
                <w:sz w:val="18"/>
              </w:rPr>
              <w:t>Revolution–ideology</w:t>
            </w:r>
          </w:p>
        </w:tc>
        <w:tc>
          <w:tcPr>
            <w:tcW w:w="3380" w:type="dxa"/>
            <w:tcMar>
              <w:top w:w="100" w:type="dxa"/>
              <w:left w:w="120" w:type="dxa"/>
              <w:bottom w:w="100" w:type="dxa"/>
              <w:right w:w="120" w:type="dxa"/>
            </w:tcMar>
            <w:vAlign w:val="center"/>
          </w:tcPr>
          <w:p w14:paraId="2B77C748" w14:textId="77777777" w:rsidR="002855CC" w:rsidRDefault="00000000">
            <w:pPr>
              <w:spacing w:after="0" w:line="264" w:lineRule="auto"/>
            </w:pPr>
            <w:r>
              <w:rPr>
                <w:sz w:val="18"/>
              </w:rPr>
              <w:t>Change the political system or nature of government.</w:t>
            </w:r>
          </w:p>
        </w:tc>
        <w:tc>
          <w:tcPr>
            <w:tcW w:w="3380" w:type="dxa"/>
            <w:tcMar>
              <w:top w:w="100" w:type="dxa"/>
              <w:left w:w="120" w:type="dxa"/>
              <w:bottom w:w="100" w:type="dxa"/>
              <w:right w:w="120" w:type="dxa"/>
            </w:tcMar>
            <w:vAlign w:val="center"/>
          </w:tcPr>
          <w:p w14:paraId="2D24D06D" w14:textId="77777777" w:rsidR="002855CC" w:rsidRDefault="00000000">
            <w:pPr>
              <w:spacing w:after="0" w:line="264" w:lineRule="auto"/>
            </w:pPr>
            <w:r>
              <w:rPr>
                <w:sz w:val="18"/>
              </w:rPr>
              <w:t>What political order does the movement seek?</w:t>
            </w:r>
          </w:p>
        </w:tc>
      </w:tr>
      <w:tr w:rsidR="002855CC" w14:paraId="03AE4325" w14:textId="77777777">
        <w:tc>
          <w:tcPr>
            <w:tcW w:w="2600" w:type="dxa"/>
            <w:shd w:val="clear" w:color="auto" w:fill="F3F5F8"/>
            <w:tcMar>
              <w:top w:w="100" w:type="dxa"/>
              <w:left w:w="120" w:type="dxa"/>
              <w:bottom w:w="100" w:type="dxa"/>
              <w:right w:w="120" w:type="dxa"/>
            </w:tcMar>
            <w:vAlign w:val="center"/>
          </w:tcPr>
          <w:p w14:paraId="174EB2B3" w14:textId="77777777" w:rsidR="002855CC" w:rsidRDefault="00000000">
            <w:pPr>
              <w:spacing w:after="0" w:line="264" w:lineRule="auto"/>
            </w:pPr>
            <w:r>
              <w:rPr>
                <w:b/>
                <w:sz w:val="18"/>
              </w:rPr>
              <w:t>Identity–secession</w:t>
            </w:r>
          </w:p>
        </w:tc>
        <w:tc>
          <w:tcPr>
            <w:tcW w:w="3380" w:type="dxa"/>
            <w:shd w:val="clear" w:color="auto" w:fill="F3F5F8"/>
            <w:tcMar>
              <w:top w:w="100" w:type="dxa"/>
              <w:left w:w="120" w:type="dxa"/>
              <w:bottom w:w="100" w:type="dxa"/>
              <w:right w:w="120" w:type="dxa"/>
            </w:tcMar>
            <w:vAlign w:val="center"/>
          </w:tcPr>
          <w:p w14:paraId="412A4BED" w14:textId="77777777" w:rsidR="002855CC" w:rsidRDefault="00000000">
            <w:pPr>
              <w:spacing w:after="0" w:line="264" w:lineRule="auto"/>
            </w:pPr>
            <w:r>
              <w:rPr>
                <w:sz w:val="18"/>
              </w:rPr>
              <w:t>Seek autonomy, separation or communal control.</w:t>
            </w:r>
          </w:p>
        </w:tc>
        <w:tc>
          <w:tcPr>
            <w:tcW w:w="3380" w:type="dxa"/>
            <w:shd w:val="clear" w:color="auto" w:fill="F3F5F8"/>
            <w:tcMar>
              <w:top w:w="100" w:type="dxa"/>
              <w:left w:w="120" w:type="dxa"/>
              <w:bottom w:w="100" w:type="dxa"/>
              <w:right w:w="120" w:type="dxa"/>
            </w:tcMar>
            <w:vAlign w:val="center"/>
          </w:tcPr>
          <w:p w14:paraId="0EAFA735" w14:textId="77777777" w:rsidR="002855CC" w:rsidRDefault="00000000">
            <w:pPr>
              <w:spacing w:after="0" w:line="264" w:lineRule="auto"/>
            </w:pPr>
            <w:r>
              <w:rPr>
                <w:sz w:val="18"/>
              </w:rPr>
              <w:t>Which community or territory claims self-rule?</w:t>
            </w:r>
          </w:p>
        </w:tc>
      </w:tr>
      <w:tr w:rsidR="002855CC" w14:paraId="470A4D60" w14:textId="77777777">
        <w:tc>
          <w:tcPr>
            <w:tcW w:w="2600" w:type="dxa"/>
            <w:tcMar>
              <w:top w:w="100" w:type="dxa"/>
              <w:left w:w="120" w:type="dxa"/>
              <w:bottom w:w="100" w:type="dxa"/>
              <w:right w:w="120" w:type="dxa"/>
            </w:tcMar>
            <w:vAlign w:val="center"/>
          </w:tcPr>
          <w:p w14:paraId="4F52A055" w14:textId="79773F83" w:rsidR="002855CC" w:rsidRDefault="00000000">
            <w:pPr>
              <w:spacing w:after="0" w:line="264" w:lineRule="auto"/>
            </w:pPr>
            <w:r>
              <w:rPr>
                <w:b/>
                <w:sz w:val="18"/>
              </w:rPr>
              <w:t>Factional</w:t>
            </w:r>
            <w:r w:rsidR="006829EF">
              <w:rPr>
                <w:b/>
                <w:sz w:val="18"/>
              </w:rPr>
              <w:t>-economic</w:t>
            </w:r>
          </w:p>
        </w:tc>
        <w:tc>
          <w:tcPr>
            <w:tcW w:w="3380" w:type="dxa"/>
            <w:tcMar>
              <w:top w:w="100" w:type="dxa"/>
              <w:left w:w="120" w:type="dxa"/>
              <w:bottom w:w="100" w:type="dxa"/>
              <w:right w:w="120" w:type="dxa"/>
            </w:tcMar>
            <w:vAlign w:val="center"/>
          </w:tcPr>
          <w:p w14:paraId="2FDDB811" w14:textId="77777777" w:rsidR="002855CC" w:rsidRDefault="00000000">
            <w:pPr>
              <w:spacing w:after="0" w:line="264" w:lineRule="auto"/>
            </w:pPr>
            <w:r>
              <w:rPr>
                <w:sz w:val="18"/>
              </w:rPr>
              <w:t xml:space="preserve">Control power, territory or resources to advance </w:t>
            </w:r>
            <w:proofErr w:type="gramStart"/>
            <w:r>
              <w:rPr>
                <w:sz w:val="18"/>
              </w:rPr>
              <w:t>particular interests</w:t>
            </w:r>
            <w:proofErr w:type="gramEnd"/>
            <w:r>
              <w:rPr>
                <w:sz w:val="18"/>
              </w:rPr>
              <w:t>.</w:t>
            </w:r>
          </w:p>
        </w:tc>
        <w:tc>
          <w:tcPr>
            <w:tcW w:w="3380" w:type="dxa"/>
            <w:tcMar>
              <w:top w:w="100" w:type="dxa"/>
              <w:left w:w="120" w:type="dxa"/>
              <w:bottom w:w="100" w:type="dxa"/>
              <w:right w:w="120" w:type="dxa"/>
            </w:tcMar>
            <w:vAlign w:val="center"/>
          </w:tcPr>
          <w:p w14:paraId="67EB4030" w14:textId="77777777" w:rsidR="002855CC" w:rsidRDefault="00000000">
            <w:pPr>
              <w:spacing w:after="0" w:line="264" w:lineRule="auto"/>
            </w:pPr>
            <w:r>
              <w:rPr>
                <w:sz w:val="18"/>
              </w:rPr>
              <w:t>Who benefits from controlling the state, territory or illicit economy?</w:t>
            </w:r>
          </w:p>
        </w:tc>
      </w:tr>
    </w:tbl>
    <w:p w14:paraId="714730D7" w14:textId="77777777" w:rsidR="002855CC" w:rsidRDefault="002855CC">
      <w:pPr>
        <w:spacing w:after="40"/>
      </w:pPr>
    </w:p>
    <w:p w14:paraId="5329A78F" w14:textId="1199AEE4" w:rsidR="002855CC" w:rsidRDefault="00000000">
      <w:pPr>
        <w:keepNext/>
        <w:spacing w:after="60"/>
      </w:pPr>
      <w:r>
        <w:rPr>
          <w:b/>
          <w:color w:val="EF4DB6"/>
        </w:rPr>
        <w:t>Q</w:t>
      </w:r>
      <w:proofErr w:type="gramStart"/>
      <w:r>
        <w:rPr>
          <w:b/>
          <w:color w:val="EF4DB6"/>
        </w:rPr>
        <w:t xml:space="preserve">1  </w:t>
      </w:r>
      <w:r>
        <w:rPr>
          <w:b/>
        </w:rPr>
        <w:t>Does</w:t>
      </w:r>
      <w:proofErr w:type="gramEnd"/>
      <w:r>
        <w:rPr>
          <w:b/>
        </w:rPr>
        <w:t xml:space="preserve"> our provisional definition accommodate factional </w:t>
      </w:r>
      <w:r w:rsidR="006829EF">
        <w:rPr>
          <w:b/>
        </w:rPr>
        <w:t xml:space="preserve">economic </w:t>
      </w:r>
      <w:r>
        <w:rPr>
          <w:b/>
        </w:rPr>
        <w:t>conflict? Why or why not?</w:t>
      </w:r>
    </w:p>
    <w:p w14:paraId="000DF1BE" w14:textId="77777777" w:rsidR="002855CC" w:rsidRDefault="00000000">
      <w:pPr>
        <w:pBdr>
          <w:bottom w:val="single" w:sz="4" w:space="3" w:color="D6DCE5"/>
        </w:pBdr>
        <w:spacing w:after="60" w:line="240" w:lineRule="auto"/>
      </w:pPr>
      <w:r>
        <w:t xml:space="preserve"> </w:t>
      </w:r>
    </w:p>
    <w:p w14:paraId="31FFC2DE" w14:textId="77777777" w:rsidR="002855CC" w:rsidRDefault="00000000">
      <w:pPr>
        <w:keepNext/>
        <w:spacing w:after="60"/>
      </w:pPr>
      <w:r>
        <w:rPr>
          <w:b/>
          <w:color w:val="EF4DB6"/>
        </w:rPr>
        <w:t xml:space="preserve">Q2  </w:t>
      </w:r>
      <w:r>
        <w:rPr>
          <w:b/>
        </w:rPr>
        <w:t>Must an armed organisation want to overthrow or transform the government?</w:t>
      </w:r>
    </w:p>
    <w:p w14:paraId="3BE38502" w14:textId="77777777" w:rsidR="002855CC" w:rsidRDefault="00000000">
      <w:pPr>
        <w:pBdr>
          <w:bottom w:val="single" w:sz="4" w:space="3" w:color="D6DCE5"/>
        </w:pBdr>
        <w:spacing w:after="60" w:line="240" w:lineRule="auto"/>
      </w:pPr>
      <w:r>
        <w:t xml:space="preserve"> </w:t>
      </w:r>
    </w:p>
    <w:p w14:paraId="22727459" w14:textId="77777777" w:rsidR="002855CC" w:rsidRDefault="00000000">
      <w:pPr>
        <w:keepNext/>
        <w:spacing w:after="60"/>
      </w:pPr>
      <w:r>
        <w:rPr>
          <w:b/>
          <w:color w:val="EF4DB6"/>
        </w:rPr>
        <w:t xml:space="preserve">Q3  </w:t>
      </w:r>
      <w:r>
        <w:rPr>
          <w:b/>
        </w:rPr>
        <w:t>Could competition for territory and illicit markets constitute civil war? Under what conditions?</w:t>
      </w:r>
    </w:p>
    <w:p w14:paraId="1BE62CE9" w14:textId="77777777" w:rsidR="002855CC" w:rsidRDefault="00000000">
      <w:pPr>
        <w:pBdr>
          <w:bottom w:val="single" w:sz="4" w:space="3" w:color="D6DCE5"/>
        </w:pBdr>
        <w:spacing w:after="60" w:line="240" w:lineRule="auto"/>
      </w:pPr>
      <w:r>
        <w:t xml:space="preserve"> </w:t>
      </w:r>
    </w:p>
    <w:p w14:paraId="6855B16C" w14:textId="77777777" w:rsidR="002855CC" w:rsidRDefault="00000000">
      <w:pPr>
        <w:keepNext/>
        <w:spacing w:after="60"/>
      </w:pPr>
      <w:r>
        <w:rPr>
          <w:b/>
          <w:color w:val="EF4DB6"/>
        </w:rPr>
        <w:t xml:space="preserve">Q4  </w:t>
      </w:r>
      <w:r>
        <w:rPr>
          <w:b/>
        </w:rPr>
        <w:t>Does economic motivation make violence criminal rather than political?</w:t>
      </w:r>
    </w:p>
    <w:p w14:paraId="3A8460B7" w14:textId="77777777" w:rsidR="002855CC" w:rsidRDefault="00000000">
      <w:pPr>
        <w:pBdr>
          <w:bottom w:val="single" w:sz="4" w:space="3" w:color="D6DCE5"/>
        </w:pBdr>
        <w:spacing w:after="60" w:line="240" w:lineRule="auto"/>
      </w:pPr>
      <w:r>
        <w:t xml:space="preserve"> </w:t>
      </w:r>
    </w:p>
    <w:p w14:paraId="037F1637" w14:textId="57F7B259" w:rsidR="002855CC" w:rsidRDefault="00000000">
      <w:pPr>
        <w:keepNext/>
        <w:spacing w:after="60"/>
      </w:pPr>
      <w:r>
        <w:rPr>
          <w:b/>
          <w:color w:val="EF4DB6"/>
        </w:rPr>
        <w:t xml:space="preserve">Q5  </w:t>
      </w:r>
      <w:r w:rsidR="006829EF">
        <w:rPr>
          <w:b/>
        </w:rPr>
        <w:t xml:space="preserve">Does </w:t>
      </w:r>
      <w:proofErr w:type="spellStart"/>
      <w:r>
        <w:rPr>
          <w:b/>
        </w:rPr>
        <w:t>organised</w:t>
      </w:r>
      <w:proofErr w:type="spellEnd"/>
      <w:r>
        <w:rPr>
          <w:b/>
        </w:rPr>
        <w:t xml:space="preserve"> crim</w:t>
      </w:r>
      <w:r w:rsidR="006829EF">
        <w:rPr>
          <w:b/>
        </w:rPr>
        <w:t xml:space="preserve">inal violence constitute </w:t>
      </w:r>
      <w:r>
        <w:rPr>
          <w:b/>
        </w:rPr>
        <w:t xml:space="preserve"> a factional </w:t>
      </w:r>
      <w:r w:rsidR="006829EF">
        <w:rPr>
          <w:b/>
        </w:rPr>
        <w:t xml:space="preserve">economic </w:t>
      </w:r>
      <w:r>
        <w:rPr>
          <w:b/>
        </w:rPr>
        <w:t>armed conflict?</w:t>
      </w:r>
    </w:p>
    <w:p w14:paraId="3D83E544" w14:textId="77777777" w:rsidR="002855CC" w:rsidRDefault="00000000">
      <w:pPr>
        <w:pBdr>
          <w:bottom w:val="single" w:sz="4" w:space="3" w:color="D6DCE5"/>
        </w:pBdr>
        <w:spacing w:after="60" w:line="240" w:lineRule="auto"/>
      </w:pPr>
      <w:r>
        <w:t xml:space="preserve"> </w:t>
      </w:r>
    </w:p>
    <w:p w14:paraId="07FF3EC5" w14:textId="77777777" w:rsidR="002855CC" w:rsidRDefault="00000000">
      <w:pPr>
        <w:keepNext/>
        <w:spacing w:before="40" w:after="60"/>
      </w:pPr>
      <w:r>
        <w:rPr>
          <w:b/>
          <w:color w:val="EF4DB6"/>
        </w:rPr>
        <w:t>Revision</w:t>
      </w:r>
    </w:p>
    <w:p w14:paraId="6617AF9B" w14:textId="77777777" w:rsidR="002855CC" w:rsidRDefault="00000000">
      <w:pPr>
        <w:keepNext/>
        <w:spacing w:after="60"/>
      </w:pPr>
      <w:r>
        <w:rPr>
          <w:i/>
          <w:color w:val="5E657A"/>
          <w:sz w:val="19"/>
        </w:rPr>
        <w:t>Write one change you would now make to the class definition.</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0A10760A" w14:textId="77777777">
        <w:tc>
          <w:tcPr>
            <w:tcW w:w="9360" w:type="dxa"/>
            <w:shd w:val="clear" w:color="auto" w:fill="EAFBFD"/>
            <w:tcMar>
              <w:top w:w="100" w:type="dxa"/>
              <w:left w:w="120" w:type="dxa"/>
              <w:bottom w:w="100" w:type="dxa"/>
              <w:right w:w="120" w:type="dxa"/>
            </w:tcMar>
          </w:tcPr>
          <w:p w14:paraId="35B8B54F" w14:textId="77777777" w:rsidR="002855CC" w:rsidRDefault="00000000">
            <w:pPr>
              <w:spacing w:after="0"/>
            </w:pPr>
            <w:r>
              <w:rPr>
                <w:sz w:val="20"/>
              </w:rPr>
              <w:br/>
            </w:r>
            <w:r>
              <w:rPr>
                <w:sz w:val="20"/>
              </w:rPr>
              <w:br/>
            </w:r>
          </w:p>
        </w:tc>
      </w:tr>
    </w:tbl>
    <w:p w14:paraId="348D050C" w14:textId="77777777" w:rsidR="002855CC" w:rsidRDefault="002855CC">
      <w:pPr>
        <w:spacing w:after="40"/>
      </w:pPr>
    </w:p>
    <w:p w14:paraId="210765AB" w14:textId="77777777" w:rsidR="002855CC" w:rsidRDefault="00000000">
      <w:r>
        <w:br w:type="page"/>
      </w:r>
    </w:p>
    <w:p w14:paraId="33D40F76"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36FF9B30" w14:textId="77777777">
        <w:tc>
          <w:tcPr>
            <w:tcW w:w="9360" w:type="dxa"/>
            <w:shd w:val="clear" w:color="auto" w:fill="070A17"/>
            <w:tcMar>
              <w:top w:w="120" w:type="dxa"/>
              <w:left w:w="220" w:type="dxa"/>
              <w:bottom w:w="140" w:type="dxa"/>
              <w:right w:w="220" w:type="dxa"/>
            </w:tcMar>
          </w:tcPr>
          <w:p w14:paraId="69620080" w14:textId="77777777" w:rsidR="002855CC" w:rsidRDefault="00000000">
            <w:r>
              <w:rPr>
                <w:b/>
                <w:color w:val="39D7E8"/>
                <w:sz w:val="16"/>
              </w:rPr>
              <w:t>ANALYSIS OF INTERNAL CONFLICT</w:t>
            </w:r>
            <w:r>
              <w:rPr>
                <w:b/>
                <w:color w:val="FFFFFF"/>
                <w:sz w:val="16"/>
              </w:rPr>
              <w:t xml:space="preserve">   |   SESSION 2:1  ·  UR / EESPI</w:t>
            </w:r>
          </w:p>
          <w:p w14:paraId="6FBA1825" w14:textId="77777777" w:rsidR="002855CC" w:rsidRDefault="00000000">
            <w:pPr>
              <w:spacing w:after="100"/>
            </w:pPr>
            <w:r>
              <w:rPr>
                <w:b/>
                <w:color w:val="EF4DB6"/>
                <w:sz w:val="18"/>
              </w:rPr>
              <w:t>APPLICATION</w:t>
            </w:r>
          </w:p>
          <w:p w14:paraId="513D47FD" w14:textId="77777777" w:rsidR="002855CC" w:rsidRDefault="00000000">
            <w:pPr>
              <w:spacing w:after="100"/>
            </w:pPr>
            <w:r>
              <w:rPr>
                <w:b/>
                <w:color w:val="FFFFFF"/>
                <w:sz w:val="42"/>
              </w:rPr>
              <w:t>Boundary test · Classify the case</w:t>
            </w:r>
          </w:p>
        </w:tc>
      </w:tr>
    </w:tbl>
    <w:p w14:paraId="06F157F5" w14:textId="77777777" w:rsidR="002855CC" w:rsidRDefault="002855CC">
      <w:pPr>
        <w:spacing w:after="40"/>
      </w:pPr>
    </w:p>
    <w:tbl>
      <w:tblPr>
        <w:tblW w:w="9360" w:type="dxa"/>
        <w:tblInd w:w="120" w:type="dxa"/>
        <w:tblBorders>
          <w:top w:val="single" w:sz="8" w:space="0" w:color="EF4DB6"/>
          <w:left w:val="single" w:sz="8" w:space="0" w:color="EF4DB6"/>
          <w:bottom w:val="single" w:sz="8" w:space="0" w:color="EF4DB6"/>
          <w:right w:val="single" w:sz="8" w:space="0" w:color="EF4DB6"/>
          <w:insideH w:val="single" w:sz="8" w:space="0" w:color="EF4DB6"/>
          <w:insideV w:val="single" w:sz="8" w:space="0" w:color="EF4DB6"/>
        </w:tblBorders>
        <w:tblLayout w:type="fixed"/>
        <w:tblLook w:val="04A0" w:firstRow="1" w:lastRow="0" w:firstColumn="1" w:lastColumn="0" w:noHBand="0" w:noVBand="1"/>
      </w:tblPr>
      <w:tblGrid>
        <w:gridCol w:w="9360"/>
      </w:tblGrid>
      <w:tr w:rsidR="002855CC" w14:paraId="5C6D0702" w14:textId="77777777">
        <w:tc>
          <w:tcPr>
            <w:tcW w:w="9360" w:type="dxa"/>
            <w:shd w:val="clear" w:color="auto" w:fill="FCECF7"/>
            <w:tcMar>
              <w:top w:w="100" w:type="dxa"/>
              <w:left w:w="120" w:type="dxa"/>
              <w:bottom w:w="100" w:type="dxa"/>
              <w:right w:w="120" w:type="dxa"/>
            </w:tcMar>
          </w:tcPr>
          <w:p w14:paraId="73C80B79" w14:textId="77777777" w:rsidR="002855CC" w:rsidRDefault="00000000">
            <w:pPr>
              <w:spacing w:after="0"/>
            </w:pPr>
            <w:r>
              <w:rPr>
                <w:b/>
                <w:color w:val="EF4DB6"/>
              </w:rPr>
              <w:t xml:space="preserve">Hypothetical case: </w:t>
            </w:r>
            <w:r>
              <w:t>Two armed groups compete for illegal markets and strategic territory. They recruit fighters, govern communities, collect payments, displace residents and repeatedly confront state forces. Neither seeks to overthrow the national government.</w:t>
            </w:r>
          </w:p>
        </w:tc>
      </w:tr>
    </w:tbl>
    <w:p w14:paraId="5DB2C0B3" w14:textId="77777777" w:rsidR="002855CC" w:rsidRDefault="002855CC">
      <w:pPr>
        <w:spacing w:after="40"/>
      </w:pPr>
    </w:p>
    <w:p w14:paraId="2D977F3A" w14:textId="77777777" w:rsidR="002855CC" w:rsidRDefault="00000000">
      <w:pPr>
        <w:pStyle w:val="Heading2"/>
        <w:spacing w:before="160" w:after="100"/>
      </w:pPr>
      <w:r>
        <w:rPr>
          <w:rFonts w:ascii="Calibri" w:hAnsi="Calibri"/>
        </w:rPr>
        <w:t>Choose the strongest classification</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1350"/>
        <w:gridCol w:w="8010"/>
      </w:tblGrid>
      <w:tr w:rsidR="002855CC" w14:paraId="52328D9D" w14:textId="77777777">
        <w:trPr>
          <w:tblHeader/>
        </w:trPr>
        <w:tc>
          <w:tcPr>
            <w:tcW w:w="1350" w:type="dxa"/>
            <w:shd w:val="clear" w:color="auto" w:fill="101426"/>
            <w:tcMar>
              <w:top w:w="100" w:type="dxa"/>
              <w:left w:w="120" w:type="dxa"/>
              <w:bottom w:w="100" w:type="dxa"/>
              <w:right w:w="120" w:type="dxa"/>
            </w:tcMar>
            <w:vAlign w:val="center"/>
          </w:tcPr>
          <w:p w14:paraId="27F892A3" w14:textId="77777777" w:rsidR="002855CC" w:rsidRDefault="00000000">
            <w:pPr>
              <w:spacing w:after="0" w:line="264" w:lineRule="auto"/>
              <w:jc w:val="center"/>
            </w:pPr>
            <w:r>
              <w:rPr>
                <w:b/>
                <w:color w:val="FFFFFF"/>
                <w:sz w:val="17"/>
              </w:rPr>
              <w:t>SELECT</w:t>
            </w:r>
          </w:p>
        </w:tc>
        <w:tc>
          <w:tcPr>
            <w:tcW w:w="8010" w:type="dxa"/>
            <w:shd w:val="clear" w:color="auto" w:fill="101426"/>
            <w:tcMar>
              <w:top w:w="100" w:type="dxa"/>
              <w:left w:w="120" w:type="dxa"/>
              <w:bottom w:w="100" w:type="dxa"/>
              <w:right w:w="120" w:type="dxa"/>
            </w:tcMar>
            <w:vAlign w:val="center"/>
          </w:tcPr>
          <w:p w14:paraId="061E4465" w14:textId="77777777" w:rsidR="002855CC" w:rsidRDefault="00000000">
            <w:pPr>
              <w:spacing w:after="0" w:line="264" w:lineRule="auto"/>
            </w:pPr>
            <w:r>
              <w:rPr>
                <w:b/>
                <w:color w:val="FFFFFF"/>
                <w:sz w:val="17"/>
              </w:rPr>
              <w:t>CLASSIFICATION</w:t>
            </w:r>
          </w:p>
        </w:tc>
      </w:tr>
      <w:tr w:rsidR="002855CC" w14:paraId="6A42EFD7" w14:textId="77777777">
        <w:tc>
          <w:tcPr>
            <w:tcW w:w="1350" w:type="dxa"/>
            <w:tcMar>
              <w:top w:w="100" w:type="dxa"/>
              <w:left w:w="120" w:type="dxa"/>
              <w:bottom w:w="100" w:type="dxa"/>
              <w:right w:w="120" w:type="dxa"/>
            </w:tcMar>
            <w:vAlign w:val="center"/>
          </w:tcPr>
          <w:p w14:paraId="786F9F57" w14:textId="77777777" w:rsidR="002855CC" w:rsidRDefault="00000000">
            <w:pPr>
              <w:spacing w:after="0" w:line="264" w:lineRule="auto"/>
              <w:jc w:val="center"/>
            </w:pPr>
            <w:r>
              <w:rPr>
                <w:sz w:val="22"/>
              </w:rPr>
              <w:t>☐</w:t>
            </w:r>
          </w:p>
        </w:tc>
        <w:tc>
          <w:tcPr>
            <w:tcW w:w="8010" w:type="dxa"/>
            <w:tcMar>
              <w:top w:w="100" w:type="dxa"/>
              <w:left w:w="120" w:type="dxa"/>
              <w:bottom w:w="100" w:type="dxa"/>
              <w:right w:w="120" w:type="dxa"/>
            </w:tcMar>
            <w:vAlign w:val="center"/>
          </w:tcPr>
          <w:p w14:paraId="6D40CE9B" w14:textId="77777777" w:rsidR="002855CC" w:rsidRDefault="00000000">
            <w:pPr>
              <w:spacing w:after="0" w:line="264" w:lineRule="auto"/>
            </w:pPr>
            <w:r>
              <w:rPr>
                <w:sz w:val="20"/>
              </w:rPr>
              <w:t>Organised crime</w:t>
            </w:r>
          </w:p>
        </w:tc>
      </w:tr>
      <w:tr w:rsidR="002855CC" w14:paraId="5EA9B7A4" w14:textId="77777777">
        <w:tc>
          <w:tcPr>
            <w:tcW w:w="1350" w:type="dxa"/>
            <w:shd w:val="clear" w:color="auto" w:fill="F3F5F8"/>
            <w:tcMar>
              <w:top w:w="100" w:type="dxa"/>
              <w:left w:w="120" w:type="dxa"/>
              <w:bottom w:w="100" w:type="dxa"/>
              <w:right w:w="120" w:type="dxa"/>
            </w:tcMar>
            <w:vAlign w:val="center"/>
          </w:tcPr>
          <w:p w14:paraId="24F7FBBA" w14:textId="77777777" w:rsidR="002855CC" w:rsidRDefault="00000000">
            <w:pPr>
              <w:spacing w:after="0" w:line="264" w:lineRule="auto"/>
              <w:jc w:val="center"/>
            </w:pPr>
            <w:r>
              <w:rPr>
                <w:sz w:val="22"/>
              </w:rPr>
              <w:t>☐</w:t>
            </w:r>
          </w:p>
        </w:tc>
        <w:tc>
          <w:tcPr>
            <w:tcW w:w="8010" w:type="dxa"/>
            <w:shd w:val="clear" w:color="auto" w:fill="F3F5F8"/>
            <w:tcMar>
              <w:top w:w="100" w:type="dxa"/>
              <w:left w:w="120" w:type="dxa"/>
              <w:bottom w:w="100" w:type="dxa"/>
              <w:right w:w="120" w:type="dxa"/>
            </w:tcMar>
            <w:vAlign w:val="center"/>
          </w:tcPr>
          <w:p w14:paraId="5880C245" w14:textId="77777777" w:rsidR="002855CC" w:rsidRDefault="00000000">
            <w:pPr>
              <w:spacing w:after="0" w:line="264" w:lineRule="auto"/>
            </w:pPr>
            <w:r>
              <w:rPr>
                <w:sz w:val="20"/>
              </w:rPr>
              <w:t>Political violence</w:t>
            </w:r>
          </w:p>
        </w:tc>
      </w:tr>
      <w:tr w:rsidR="002855CC" w14:paraId="2AE8149A" w14:textId="77777777">
        <w:tc>
          <w:tcPr>
            <w:tcW w:w="1350" w:type="dxa"/>
            <w:tcMar>
              <w:top w:w="100" w:type="dxa"/>
              <w:left w:w="120" w:type="dxa"/>
              <w:bottom w:w="100" w:type="dxa"/>
              <w:right w:w="120" w:type="dxa"/>
            </w:tcMar>
            <w:vAlign w:val="center"/>
          </w:tcPr>
          <w:p w14:paraId="2FF701F8" w14:textId="77777777" w:rsidR="002855CC" w:rsidRDefault="00000000">
            <w:pPr>
              <w:spacing w:after="0" w:line="264" w:lineRule="auto"/>
              <w:jc w:val="center"/>
            </w:pPr>
            <w:r>
              <w:rPr>
                <w:sz w:val="22"/>
              </w:rPr>
              <w:t>☐</w:t>
            </w:r>
          </w:p>
        </w:tc>
        <w:tc>
          <w:tcPr>
            <w:tcW w:w="8010" w:type="dxa"/>
            <w:tcMar>
              <w:top w:w="100" w:type="dxa"/>
              <w:left w:w="120" w:type="dxa"/>
              <w:bottom w:w="100" w:type="dxa"/>
              <w:right w:w="120" w:type="dxa"/>
            </w:tcMar>
            <w:vAlign w:val="center"/>
          </w:tcPr>
          <w:p w14:paraId="32135672" w14:textId="77777777" w:rsidR="002855CC" w:rsidRDefault="00000000">
            <w:pPr>
              <w:spacing w:after="0" w:line="264" w:lineRule="auto"/>
            </w:pPr>
            <w:r>
              <w:rPr>
                <w:sz w:val="20"/>
              </w:rPr>
              <w:t>Factional-economic conflict</w:t>
            </w:r>
          </w:p>
        </w:tc>
      </w:tr>
      <w:tr w:rsidR="002855CC" w14:paraId="2B90D329" w14:textId="77777777">
        <w:tc>
          <w:tcPr>
            <w:tcW w:w="1350" w:type="dxa"/>
            <w:shd w:val="clear" w:color="auto" w:fill="F3F5F8"/>
            <w:tcMar>
              <w:top w:w="100" w:type="dxa"/>
              <w:left w:w="120" w:type="dxa"/>
              <w:bottom w:w="100" w:type="dxa"/>
              <w:right w:w="120" w:type="dxa"/>
            </w:tcMar>
            <w:vAlign w:val="center"/>
          </w:tcPr>
          <w:p w14:paraId="246B32D6" w14:textId="77777777" w:rsidR="002855CC" w:rsidRDefault="00000000">
            <w:pPr>
              <w:spacing w:after="0" w:line="264" w:lineRule="auto"/>
              <w:jc w:val="center"/>
            </w:pPr>
            <w:r>
              <w:rPr>
                <w:sz w:val="22"/>
              </w:rPr>
              <w:t>☐</w:t>
            </w:r>
          </w:p>
        </w:tc>
        <w:tc>
          <w:tcPr>
            <w:tcW w:w="8010" w:type="dxa"/>
            <w:shd w:val="clear" w:color="auto" w:fill="F3F5F8"/>
            <w:tcMar>
              <w:top w:w="100" w:type="dxa"/>
              <w:left w:w="120" w:type="dxa"/>
              <w:bottom w:w="100" w:type="dxa"/>
              <w:right w:w="120" w:type="dxa"/>
            </w:tcMar>
            <w:vAlign w:val="center"/>
          </w:tcPr>
          <w:p w14:paraId="3F89FBE2" w14:textId="77777777" w:rsidR="002855CC" w:rsidRDefault="00000000">
            <w:pPr>
              <w:spacing w:after="0" w:line="264" w:lineRule="auto"/>
            </w:pPr>
            <w:r>
              <w:rPr>
                <w:sz w:val="20"/>
              </w:rPr>
              <w:t>Non-international armed conflict</w:t>
            </w:r>
          </w:p>
        </w:tc>
      </w:tr>
      <w:tr w:rsidR="002855CC" w14:paraId="225E50DB" w14:textId="77777777">
        <w:tc>
          <w:tcPr>
            <w:tcW w:w="1350" w:type="dxa"/>
            <w:tcMar>
              <w:top w:w="100" w:type="dxa"/>
              <w:left w:w="120" w:type="dxa"/>
              <w:bottom w:w="100" w:type="dxa"/>
              <w:right w:w="120" w:type="dxa"/>
            </w:tcMar>
            <w:vAlign w:val="center"/>
          </w:tcPr>
          <w:p w14:paraId="6E019F5D" w14:textId="77777777" w:rsidR="002855CC" w:rsidRDefault="00000000">
            <w:pPr>
              <w:spacing w:after="0" w:line="264" w:lineRule="auto"/>
              <w:jc w:val="center"/>
            </w:pPr>
            <w:r>
              <w:rPr>
                <w:sz w:val="22"/>
              </w:rPr>
              <w:t>☐</w:t>
            </w:r>
          </w:p>
        </w:tc>
        <w:tc>
          <w:tcPr>
            <w:tcW w:w="8010" w:type="dxa"/>
            <w:tcMar>
              <w:top w:w="100" w:type="dxa"/>
              <w:left w:w="120" w:type="dxa"/>
              <w:bottom w:w="100" w:type="dxa"/>
              <w:right w:w="120" w:type="dxa"/>
            </w:tcMar>
            <w:vAlign w:val="center"/>
          </w:tcPr>
          <w:p w14:paraId="4F4B99F6" w14:textId="77777777" w:rsidR="002855CC" w:rsidRDefault="00000000">
            <w:pPr>
              <w:spacing w:after="0" w:line="264" w:lineRule="auto"/>
            </w:pPr>
            <w:r>
              <w:rPr>
                <w:sz w:val="20"/>
              </w:rPr>
              <w:t>Civil war</w:t>
            </w:r>
          </w:p>
        </w:tc>
      </w:tr>
    </w:tbl>
    <w:p w14:paraId="175096E9" w14:textId="77777777" w:rsidR="002855CC" w:rsidRDefault="002855CC">
      <w:pPr>
        <w:spacing w:after="40"/>
      </w:pPr>
    </w:p>
    <w:p w14:paraId="09BA28B6" w14:textId="77777777" w:rsidR="002855CC" w:rsidRDefault="00000000">
      <w:pPr>
        <w:keepNext/>
        <w:spacing w:after="20"/>
      </w:pPr>
      <w:r>
        <w:rPr>
          <w:b/>
          <w:color w:val="EF4DB6"/>
          <w:sz w:val="20"/>
        </w:rPr>
        <w:t>1 · Our classification</w:t>
      </w:r>
    </w:p>
    <w:p w14:paraId="45B88D35" w14:textId="77777777" w:rsidR="002855CC" w:rsidRDefault="00000000">
      <w:pPr>
        <w:keepNext/>
        <w:spacing w:after="20"/>
      </w:pPr>
      <w:r>
        <w:rPr>
          <w:i/>
          <w:color w:val="5E657A"/>
          <w:sz w:val="18"/>
        </w:rPr>
        <w:t>State your choice and define what the label means.</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3869A245" w14:textId="77777777">
        <w:tc>
          <w:tcPr>
            <w:tcW w:w="9360" w:type="dxa"/>
            <w:shd w:val="clear" w:color="auto" w:fill="FFFFFF"/>
            <w:tcMar>
              <w:top w:w="100" w:type="dxa"/>
              <w:left w:w="120" w:type="dxa"/>
              <w:bottom w:w="100" w:type="dxa"/>
              <w:right w:w="120" w:type="dxa"/>
            </w:tcMar>
          </w:tcPr>
          <w:p w14:paraId="540E01D8" w14:textId="77777777" w:rsidR="002855CC" w:rsidRDefault="002855CC">
            <w:pPr>
              <w:spacing w:after="0"/>
            </w:pPr>
          </w:p>
        </w:tc>
      </w:tr>
    </w:tbl>
    <w:p w14:paraId="478312FF" w14:textId="77777777" w:rsidR="002855CC" w:rsidRDefault="002855CC">
      <w:pPr>
        <w:spacing w:after="0"/>
      </w:pPr>
    </w:p>
    <w:p w14:paraId="0A7CA9FD" w14:textId="77777777" w:rsidR="002855CC" w:rsidRDefault="00000000">
      <w:pPr>
        <w:keepNext/>
        <w:spacing w:after="20"/>
      </w:pPr>
      <w:r>
        <w:rPr>
          <w:b/>
          <w:color w:val="EF4DB6"/>
          <w:sz w:val="20"/>
        </w:rPr>
        <w:t>2 · Evidence supporting it</w:t>
      </w:r>
    </w:p>
    <w:p w14:paraId="6B921138" w14:textId="77777777" w:rsidR="002855CC" w:rsidRDefault="00000000">
      <w:pPr>
        <w:keepNext/>
        <w:spacing w:after="20"/>
      </w:pPr>
      <w:r>
        <w:rPr>
          <w:i/>
          <w:color w:val="5E657A"/>
          <w:sz w:val="18"/>
        </w:rPr>
        <w:t>Identify at least three facts from the case.</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188E69F5" w14:textId="77777777">
        <w:tc>
          <w:tcPr>
            <w:tcW w:w="9360" w:type="dxa"/>
            <w:shd w:val="clear" w:color="auto" w:fill="EAFBFD"/>
            <w:tcMar>
              <w:top w:w="100" w:type="dxa"/>
              <w:left w:w="120" w:type="dxa"/>
              <w:bottom w:w="100" w:type="dxa"/>
              <w:right w:w="120" w:type="dxa"/>
            </w:tcMar>
          </w:tcPr>
          <w:p w14:paraId="5DAB8807" w14:textId="77777777" w:rsidR="002855CC" w:rsidRDefault="002855CC">
            <w:pPr>
              <w:spacing w:after="0"/>
            </w:pPr>
          </w:p>
        </w:tc>
      </w:tr>
    </w:tbl>
    <w:p w14:paraId="2A83A7AF" w14:textId="77777777" w:rsidR="002855CC" w:rsidRDefault="002855CC">
      <w:pPr>
        <w:spacing w:after="0"/>
      </w:pPr>
    </w:p>
    <w:p w14:paraId="17C4A996" w14:textId="77777777" w:rsidR="002855CC" w:rsidRDefault="00000000">
      <w:pPr>
        <w:keepNext/>
        <w:spacing w:after="20"/>
      </w:pPr>
      <w:r>
        <w:rPr>
          <w:b/>
          <w:color w:val="EF4DB6"/>
          <w:sz w:val="20"/>
        </w:rPr>
        <w:t>3 · Missing evidence</w:t>
      </w:r>
    </w:p>
    <w:p w14:paraId="6EAA9E21" w14:textId="77777777" w:rsidR="002855CC" w:rsidRDefault="00000000">
      <w:pPr>
        <w:keepNext/>
        <w:spacing w:after="20"/>
      </w:pPr>
      <w:r>
        <w:rPr>
          <w:i/>
          <w:color w:val="5E657A"/>
          <w:sz w:val="18"/>
        </w:rPr>
        <w:t>What additional information could change your classification?</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5646AB60" w14:textId="77777777">
        <w:tc>
          <w:tcPr>
            <w:tcW w:w="9360" w:type="dxa"/>
            <w:shd w:val="clear" w:color="auto" w:fill="FFFFFF"/>
            <w:tcMar>
              <w:top w:w="100" w:type="dxa"/>
              <w:left w:w="120" w:type="dxa"/>
              <w:bottom w:w="100" w:type="dxa"/>
              <w:right w:w="120" w:type="dxa"/>
            </w:tcMar>
          </w:tcPr>
          <w:p w14:paraId="22815280" w14:textId="77777777" w:rsidR="002855CC" w:rsidRDefault="002855CC">
            <w:pPr>
              <w:spacing w:after="0"/>
            </w:pPr>
          </w:p>
        </w:tc>
      </w:tr>
    </w:tbl>
    <w:p w14:paraId="70296886" w14:textId="77777777" w:rsidR="002855CC" w:rsidRDefault="002855CC">
      <w:pPr>
        <w:spacing w:after="0"/>
      </w:pPr>
    </w:p>
    <w:p w14:paraId="7F9BD709" w14:textId="77777777" w:rsidR="002855CC" w:rsidRDefault="00000000">
      <w:pPr>
        <w:keepNext/>
        <w:spacing w:after="20"/>
      </w:pPr>
      <w:r>
        <w:rPr>
          <w:b/>
          <w:color w:val="EF4DB6"/>
          <w:sz w:val="20"/>
        </w:rPr>
        <w:t>4 · Strongest alternative</w:t>
      </w:r>
    </w:p>
    <w:p w14:paraId="189565F0" w14:textId="77777777" w:rsidR="002855CC" w:rsidRDefault="00000000">
      <w:pPr>
        <w:keepNext/>
        <w:spacing w:after="20"/>
      </w:pPr>
      <w:r>
        <w:rPr>
          <w:i/>
          <w:color w:val="5E657A"/>
          <w:sz w:val="18"/>
        </w:rPr>
        <w:t>What is the most plausible competing classification, and why did you reject it?</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2C17F5F6" w14:textId="77777777">
        <w:tc>
          <w:tcPr>
            <w:tcW w:w="9360" w:type="dxa"/>
            <w:shd w:val="clear" w:color="auto" w:fill="F3F5F8"/>
            <w:tcMar>
              <w:top w:w="100" w:type="dxa"/>
              <w:left w:w="120" w:type="dxa"/>
              <w:bottom w:w="100" w:type="dxa"/>
              <w:right w:w="120" w:type="dxa"/>
            </w:tcMar>
          </w:tcPr>
          <w:p w14:paraId="367470CB" w14:textId="77777777" w:rsidR="002855CC" w:rsidRDefault="002855CC">
            <w:pPr>
              <w:spacing w:after="0"/>
            </w:pPr>
          </w:p>
        </w:tc>
      </w:tr>
    </w:tbl>
    <w:p w14:paraId="2E43AC85" w14:textId="77777777" w:rsidR="002855CC" w:rsidRDefault="00000000">
      <w:r>
        <w:br w:type="page"/>
      </w:r>
    </w:p>
    <w:p w14:paraId="753E2F19" w14:textId="77777777" w:rsidR="002855CC" w:rsidRDefault="002855CC">
      <w:pPr>
        <w:spacing w:after="20"/>
      </w:pPr>
    </w:p>
    <w:tbl>
      <w:tblPr>
        <w:tblW w:w="9360" w:type="dxa"/>
        <w:tblInd w:w="120" w:type="dxa"/>
        <w:tblBorders>
          <w:top w:val="single" w:sz="10" w:space="0" w:color="39D7E8"/>
          <w:left w:val="single" w:sz="10" w:space="0" w:color="39D7E8"/>
          <w:bottom w:val="single" w:sz="10" w:space="0" w:color="39D7E8"/>
          <w:right w:val="single" w:sz="10" w:space="0" w:color="39D7E8"/>
          <w:insideH w:val="single" w:sz="10" w:space="0" w:color="39D7E8"/>
          <w:insideV w:val="single" w:sz="10" w:space="0" w:color="39D7E8"/>
        </w:tblBorders>
        <w:tblLayout w:type="fixed"/>
        <w:tblLook w:val="04A0" w:firstRow="1" w:lastRow="0" w:firstColumn="1" w:lastColumn="0" w:noHBand="0" w:noVBand="1"/>
      </w:tblPr>
      <w:tblGrid>
        <w:gridCol w:w="9360"/>
      </w:tblGrid>
      <w:tr w:rsidR="002855CC" w14:paraId="6652EE80" w14:textId="77777777">
        <w:tc>
          <w:tcPr>
            <w:tcW w:w="9360" w:type="dxa"/>
            <w:shd w:val="clear" w:color="auto" w:fill="070A17"/>
            <w:tcMar>
              <w:top w:w="120" w:type="dxa"/>
              <w:left w:w="220" w:type="dxa"/>
              <w:bottom w:w="140" w:type="dxa"/>
              <w:right w:w="220" w:type="dxa"/>
            </w:tcMar>
          </w:tcPr>
          <w:p w14:paraId="6DA1C88B" w14:textId="77777777" w:rsidR="002855CC" w:rsidRDefault="00000000">
            <w:r>
              <w:rPr>
                <w:b/>
                <w:color w:val="39D7E8"/>
                <w:sz w:val="16"/>
              </w:rPr>
              <w:t>ANALYSIS OF INTERNAL CONFLICT</w:t>
            </w:r>
            <w:r>
              <w:rPr>
                <w:b/>
                <w:color w:val="FFFFFF"/>
                <w:sz w:val="16"/>
              </w:rPr>
              <w:t xml:space="preserve">   |   SESSION 2:1  ·  UR / EESPI</w:t>
            </w:r>
          </w:p>
          <w:p w14:paraId="72975D13" w14:textId="77777777" w:rsidR="002855CC" w:rsidRDefault="00000000">
            <w:pPr>
              <w:spacing w:after="100"/>
            </w:pPr>
            <w:r>
              <w:rPr>
                <w:b/>
                <w:color w:val="EF4DB6"/>
                <w:sz w:val="18"/>
              </w:rPr>
              <w:t>CONCLUSION</w:t>
            </w:r>
          </w:p>
          <w:p w14:paraId="33DAA75A" w14:textId="77777777" w:rsidR="002855CC" w:rsidRDefault="00000000">
            <w:pPr>
              <w:spacing w:after="100"/>
            </w:pPr>
            <w:r>
              <w:rPr>
                <w:b/>
                <w:color w:val="FFFFFF"/>
                <w:sz w:val="42"/>
              </w:rPr>
              <w:t>What can—and cannot—we conclude?</w:t>
            </w:r>
          </w:p>
        </w:tc>
      </w:tr>
    </w:tbl>
    <w:p w14:paraId="1694974B" w14:textId="77777777" w:rsidR="002855CC" w:rsidRDefault="002855CC">
      <w:pPr>
        <w:spacing w:after="40"/>
      </w:pPr>
    </w:p>
    <w:p w14:paraId="5D7CD636" w14:textId="77777777" w:rsidR="002855CC" w:rsidRDefault="00000000">
      <w:pPr>
        <w:keepNext/>
        <w:spacing w:before="40" w:after="60"/>
      </w:pPr>
      <w:r>
        <w:rPr>
          <w:b/>
          <w:color w:val="EF4DB6"/>
        </w:rPr>
        <w:t>What we can conclude</w:t>
      </w:r>
    </w:p>
    <w:p w14:paraId="1932B7C7" w14:textId="77777777" w:rsidR="002855CC" w:rsidRDefault="00000000">
      <w:pPr>
        <w:keepNext/>
        <w:spacing w:after="60"/>
      </w:pPr>
      <w:r>
        <w:rPr>
          <w:i/>
          <w:color w:val="5E657A"/>
          <w:sz w:val="19"/>
        </w:rPr>
        <w:t>What does the available evidence allow us to say confidently about the hypothetical case?</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0BFC9A9B" w14:textId="77777777">
        <w:tc>
          <w:tcPr>
            <w:tcW w:w="9360" w:type="dxa"/>
            <w:shd w:val="clear" w:color="auto" w:fill="EAFBFD"/>
            <w:tcMar>
              <w:top w:w="100" w:type="dxa"/>
              <w:left w:w="120" w:type="dxa"/>
              <w:bottom w:w="100" w:type="dxa"/>
              <w:right w:w="120" w:type="dxa"/>
            </w:tcMar>
          </w:tcPr>
          <w:p w14:paraId="49C0FED2" w14:textId="77777777" w:rsidR="002855CC" w:rsidRDefault="00000000">
            <w:pPr>
              <w:spacing w:after="0"/>
            </w:pPr>
            <w:r>
              <w:rPr>
                <w:sz w:val="20"/>
              </w:rPr>
              <w:br/>
            </w:r>
            <w:r>
              <w:rPr>
                <w:sz w:val="20"/>
              </w:rPr>
              <w:br/>
            </w:r>
          </w:p>
        </w:tc>
      </w:tr>
    </w:tbl>
    <w:p w14:paraId="74C3D764" w14:textId="77777777" w:rsidR="002855CC" w:rsidRDefault="002855CC">
      <w:pPr>
        <w:spacing w:after="40"/>
      </w:pPr>
    </w:p>
    <w:p w14:paraId="182B022E" w14:textId="77777777" w:rsidR="002855CC" w:rsidRDefault="00000000">
      <w:pPr>
        <w:keepNext/>
        <w:spacing w:before="40" w:after="60"/>
      </w:pPr>
      <w:r>
        <w:rPr>
          <w:b/>
          <w:color w:val="EF4DB6"/>
        </w:rPr>
        <w:t>What we cannot yet conclude</w:t>
      </w:r>
    </w:p>
    <w:p w14:paraId="44FF52F0" w14:textId="77777777" w:rsidR="002855CC" w:rsidRDefault="00000000">
      <w:pPr>
        <w:keepNext/>
        <w:spacing w:after="60"/>
      </w:pPr>
      <w:r>
        <w:rPr>
          <w:i/>
          <w:color w:val="5E657A"/>
          <w:sz w:val="19"/>
        </w:rPr>
        <w:t>Which claim would go beyond the available evidence?</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1289A779" w14:textId="77777777">
        <w:tc>
          <w:tcPr>
            <w:tcW w:w="9360" w:type="dxa"/>
            <w:shd w:val="clear" w:color="auto" w:fill="FCECF7"/>
            <w:tcMar>
              <w:top w:w="100" w:type="dxa"/>
              <w:left w:w="120" w:type="dxa"/>
              <w:bottom w:w="100" w:type="dxa"/>
              <w:right w:w="120" w:type="dxa"/>
            </w:tcMar>
          </w:tcPr>
          <w:p w14:paraId="121D8BD2" w14:textId="77777777" w:rsidR="002855CC" w:rsidRDefault="00000000">
            <w:pPr>
              <w:spacing w:after="0"/>
            </w:pPr>
            <w:r>
              <w:rPr>
                <w:sz w:val="20"/>
              </w:rPr>
              <w:br/>
            </w:r>
            <w:r>
              <w:rPr>
                <w:sz w:val="20"/>
              </w:rPr>
              <w:br/>
            </w:r>
          </w:p>
        </w:tc>
      </w:tr>
    </w:tbl>
    <w:p w14:paraId="45EA7891" w14:textId="77777777" w:rsidR="002855CC" w:rsidRDefault="002855CC">
      <w:pPr>
        <w:spacing w:after="40"/>
      </w:pPr>
    </w:p>
    <w:p w14:paraId="4F202193" w14:textId="77777777" w:rsidR="002855CC" w:rsidRDefault="00000000">
      <w:pPr>
        <w:keepNext/>
        <w:spacing w:before="40" w:after="60"/>
      </w:pPr>
      <w:r>
        <w:rPr>
          <w:b/>
          <w:color w:val="EF4DB6"/>
        </w:rPr>
        <w:t>Exit statement</w:t>
      </w:r>
    </w:p>
    <w:p w14:paraId="1EB4E882" w14:textId="77777777" w:rsidR="002855CC" w:rsidRDefault="00000000">
      <w:pPr>
        <w:keepNext/>
        <w:spacing w:after="60"/>
      </w:pPr>
      <w:r>
        <w:rPr>
          <w:i/>
          <w:color w:val="5E657A"/>
          <w:sz w:val="19"/>
        </w:rPr>
        <w:t>Complete: “A conflict should be classified as a civil war when…”</w:t>
      </w:r>
    </w:p>
    <w:tbl>
      <w:tblPr>
        <w:tblW w:w="9360" w:type="dxa"/>
        <w:tblInd w:w="120" w:type="dxa"/>
        <w:tblBorders>
          <w:top w:val="single" w:sz="6" w:space="0" w:color="C9D2DE"/>
          <w:left w:val="single" w:sz="6" w:space="0" w:color="C9D2DE"/>
          <w:bottom w:val="single" w:sz="6" w:space="0" w:color="C9D2DE"/>
          <w:right w:val="single" w:sz="6" w:space="0" w:color="C9D2DE"/>
          <w:insideH w:val="single" w:sz="6" w:space="0" w:color="C9D2DE"/>
          <w:insideV w:val="single" w:sz="6" w:space="0" w:color="C9D2DE"/>
        </w:tblBorders>
        <w:tblLayout w:type="fixed"/>
        <w:tblLook w:val="04A0" w:firstRow="1" w:lastRow="0" w:firstColumn="1" w:lastColumn="0" w:noHBand="0" w:noVBand="1"/>
      </w:tblPr>
      <w:tblGrid>
        <w:gridCol w:w="9360"/>
      </w:tblGrid>
      <w:tr w:rsidR="002855CC" w14:paraId="03DB7C94" w14:textId="77777777">
        <w:tc>
          <w:tcPr>
            <w:tcW w:w="9360" w:type="dxa"/>
            <w:shd w:val="clear" w:color="auto" w:fill="F3F5F8"/>
            <w:tcMar>
              <w:top w:w="100" w:type="dxa"/>
              <w:left w:w="120" w:type="dxa"/>
              <w:bottom w:w="100" w:type="dxa"/>
              <w:right w:w="120" w:type="dxa"/>
            </w:tcMar>
          </w:tcPr>
          <w:p w14:paraId="1D48907B" w14:textId="77777777" w:rsidR="002855CC" w:rsidRDefault="00000000">
            <w:pPr>
              <w:spacing w:after="0"/>
            </w:pPr>
            <w:r>
              <w:rPr>
                <w:sz w:val="20"/>
              </w:rPr>
              <w:br/>
            </w:r>
          </w:p>
        </w:tc>
      </w:tr>
    </w:tbl>
    <w:p w14:paraId="1646EE98" w14:textId="77777777" w:rsidR="002855CC" w:rsidRDefault="002855CC">
      <w:pPr>
        <w:spacing w:after="40"/>
      </w:pPr>
    </w:p>
    <w:tbl>
      <w:tblPr>
        <w:tblW w:w="9360" w:type="dxa"/>
        <w:tblInd w:w="120" w:type="dxa"/>
        <w:tblBorders>
          <w:top w:val="single" w:sz="8" w:space="0" w:color="39D7E8"/>
          <w:left w:val="single" w:sz="8" w:space="0" w:color="39D7E8"/>
          <w:bottom w:val="single" w:sz="8" w:space="0" w:color="39D7E8"/>
          <w:right w:val="single" w:sz="8" w:space="0" w:color="39D7E8"/>
          <w:insideH w:val="single" w:sz="8" w:space="0" w:color="39D7E8"/>
          <w:insideV w:val="single" w:sz="8" w:space="0" w:color="39D7E8"/>
        </w:tblBorders>
        <w:tblLayout w:type="fixed"/>
        <w:tblLook w:val="04A0" w:firstRow="1" w:lastRow="0" w:firstColumn="1" w:lastColumn="0" w:noHBand="0" w:noVBand="1"/>
      </w:tblPr>
      <w:tblGrid>
        <w:gridCol w:w="9360"/>
      </w:tblGrid>
      <w:tr w:rsidR="002855CC" w14:paraId="28E10A96" w14:textId="77777777">
        <w:tc>
          <w:tcPr>
            <w:tcW w:w="9360" w:type="dxa"/>
            <w:shd w:val="clear" w:color="auto" w:fill="EAFBFD"/>
            <w:tcMar>
              <w:top w:w="100" w:type="dxa"/>
              <w:left w:w="120" w:type="dxa"/>
              <w:bottom w:w="100" w:type="dxa"/>
              <w:right w:w="120" w:type="dxa"/>
            </w:tcMar>
          </w:tcPr>
          <w:p w14:paraId="3A3BF2DE" w14:textId="77777777" w:rsidR="002855CC" w:rsidRDefault="00000000">
            <w:pPr>
              <w:spacing w:after="0"/>
            </w:pPr>
            <w:r>
              <w:rPr>
                <w:b/>
                <w:color w:val="39D7E8"/>
              </w:rPr>
              <w:t xml:space="preserve">Key lesson: </w:t>
            </w:r>
            <w:r>
              <w:t>Definitions are not decorative labels. They determine which cases enter our analysis, which comparisons appear valid and which forms of violence become visible.</w:t>
            </w:r>
          </w:p>
        </w:tc>
      </w:tr>
    </w:tbl>
    <w:p w14:paraId="5C5FF176" w14:textId="77777777" w:rsidR="002855CC" w:rsidRDefault="002855CC">
      <w:pPr>
        <w:spacing w:after="40"/>
      </w:pPr>
    </w:p>
    <w:p w14:paraId="67BF14F4" w14:textId="77777777" w:rsidR="002855CC" w:rsidRDefault="00000000">
      <w:pPr>
        <w:pStyle w:val="Heading2"/>
      </w:pPr>
      <w:r>
        <w:rPr>
          <w:rFonts w:ascii="Calibri" w:hAnsi="Calibri"/>
        </w:rPr>
        <w:t>Readings</w:t>
      </w:r>
    </w:p>
    <w:p w14:paraId="2893D3B9" w14:textId="77777777" w:rsidR="002855CC" w:rsidRDefault="00000000">
      <w:pPr>
        <w:spacing w:after="60" w:line="240" w:lineRule="auto"/>
        <w:ind w:left="288" w:hanging="288"/>
      </w:pPr>
      <w:r>
        <w:rPr>
          <w:color w:val="5E657A"/>
          <w:sz w:val="16"/>
        </w:rPr>
        <w:t>Kalyvas, S. N. (2007). “Civil Wars.” In C. Boix and S. C. Stokes (eds.), The Oxford Handbook of Comparative Politics. Oxford University Press, pp. 416–434.</w:t>
      </w:r>
    </w:p>
    <w:p w14:paraId="4A2E1615" w14:textId="77777777" w:rsidR="002855CC" w:rsidRDefault="00000000">
      <w:pPr>
        <w:spacing w:after="60" w:line="240" w:lineRule="auto"/>
        <w:ind w:left="288" w:hanging="288"/>
      </w:pPr>
      <w:r>
        <w:rPr>
          <w:color w:val="5E657A"/>
          <w:sz w:val="16"/>
        </w:rPr>
        <w:t>Sambanis, N. (2004). “What Is a Civil War? Conceptual and Empirical Complexities of an Operational Definition.” Journal of Conflict Resolution, 48(6), 814–858.</w:t>
      </w:r>
    </w:p>
    <w:p w14:paraId="6511EE1B" w14:textId="77777777" w:rsidR="002855CC" w:rsidRDefault="00000000">
      <w:pPr>
        <w:spacing w:after="60" w:line="240" w:lineRule="auto"/>
        <w:ind w:left="288" w:hanging="288"/>
      </w:pPr>
      <w:r>
        <w:rPr>
          <w:color w:val="5E657A"/>
          <w:sz w:val="16"/>
        </w:rPr>
        <w:t>Kalyvas, S. N. (2001). “‘New’ and ‘Old’ Civil Wars: A Valid Distinction?” World Politics, 54(1), 99–118.</w:t>
      </w:r>
    </w:p>
    <w:p w14:paraId="7BE870C6" w14:textId="77777777" w:rsidR="002855CC" w:rsidRDefault="00000000">
      <w:pPr>
        <w:spacing w:after="60" w:line="240" w:lineRule="auto"/>
        <w:ind w:left="288" w:hanging="288"/>
      </w:pPr>
      <w:r>
        <w:rPr>
          <w:color w:val="5E657A"/>
          <w:sz w:val="16"/>
        </w:rPr>
        <w:t>Ramsbotham, O., Woodhouse, T. and Miall, H. (2005). Contemporary Conflict Resolution: The Prevention, Management and Transformation of Deadly Conflicts. 2nd ed. Cambridge: Polity.</w:t>
      </w:r>
    </w:p>
    <w:sectPr w:rsidR="002855CC" w:rsidSect="00034616">
      <w:footerReference w:type="default" r:id="rId8"/>
      <w:pgSz w:w="12240" w:h="15840"/>
      <w:pgMar w:top="1123" w:right="1440" w:bottom="1037"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68B87" w14:textId="77777777" w:rsidR="007A27D9" w:rsidRDefault="007A27D9">
      <w:pPr>
        <w:spacing w:after="0" w:line="240" w:lineRule="auto"/>
      </w:pPr>
      <w:r>
        <w:separator/>
      </w:r>
    </w:p>
  </w:endnote>
  <w:endnote w:type="continuationSeparator" w:id="0">
    <w:p w14:paraId="095D9D8F" w14:textId="77777777" w:rsidR="007A27D9" w:rsidRDefault="007A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7FA9" w14:textId="77777777" w:rsidR="002855CC" w:rsidRDefault="00000000">
    <w:pPr>
      <w:pStyle w:val="Footer"/>
      <w:spacing w:line="276" w:lineRule="auto"/>
      <w:jc w:val="right"/>
    </w:pPr>
    <w:r>
      <w:rPr>
        <w:color w:val="5E657A"/>
        <w:sz w:val="16"/>
      </w:rPr>
      <w:t xml:space="preserve">Universidad del Rosario   |   </w:t>
    </w:r>
    <w:r>
      <w:fldChar w:fldCharType="begin"/>
    </w:r>
    <w:r>
      <w:instrText>PAGE</w:instrText>
    </w:r>
    <w:r>
      <w:fldChar w:fldCharType="separate"/>
    </w:r>
    <w:r w:rsidR="006829E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2ED6" w14:textId="77777777" w:rsidR="007A27D9" w:rsidRDefault="007A27D9">
      <w:pPr>
        <w:spacing w:after="0" w:line="240" w:lineRule="auto"/>
      </w:pPr>
      <w:r>
        <w:separator/>
      </w:r>
    </w:p>
  </w:footnote>
  <w:footnote w:type="continuationSeparator" w:id="0">
    <w:p w14:paraId="23B4B896" w14:textId="77777777" w:rsidR="007A27D9" w:rsidRDefault="007A27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3513657">
    <w:abstractNumId w:val="8"/>
  </w:num>
  <w:num w:numId="2" w16cid:durableId="1321075466">
    <w:abstractNumId w:val="6"/>
  </w:num>
  <w:num w:numId="3" w16cid:durableId="59402136">
    <w:abstractNumId w:val="5"/>
  </w:num>
  <w:num w:numId="4" w16cid:durableId="1854414888">
    <w:abstractNumId w:val="4"/>
  </w:num>
  <w:num w:numId="5" w16cid:durableId="197357610">
    <w:abstractNumId w:val="7"/>
  </w:num>
  <w:num w:numId="6" w16cid:durableId="1370758767">
    <w:abstractNumId w:val="3"/>
  </w:num>
  <w:num w:numId="7" w16cid:durableId="135412768">
    <w:abstractNumId w:val="2"/>
  </w:num>
  <w:num w:numId="8" w16cid:durableId="341858804">
    <w:abstractNumId w:val="1"/>
  </w:num>
  <w:num w:numId="9" w16cid:durableId="39828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3792"/>
    <w:rsid w:val="002855CC"/>
    <w:rsid w:val="0029639D"/>
    <w:rsid w:val="00326F90"/>
    <w:rsid w:val="006829EF"/>
    <w:rsid w:val="006A1B5D"/>
    <w:rsid w:val="007A27D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B6904E"/>
  <w14:defaultImageDpi w14:val="300"/>
  <w15:docId w15:val="{3EB99E5C-5D35-8E4A-80FD-CA3EB4C6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101426"/>
      <w:sz w:val="21"/>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39D7E8"/>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39D7E8"/>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Defining Civil War and Testing Its Boundaries — Reading-Group Worksheet</dc:title>
  <dc:subject>Analysis of Internal Conflict, Session 2:1</dc:subject>
  <dc:creator>Mathew H. Charles</dc:creator>
  <cp:keywords>civil war; Sambanis; Kalyvas; Ramsbotham; factional conflict</cp:keywords>
  <dc:description>generated by python-docx</dc:description>
  <cp:lastModifiedBy>Carlos Javier Amaya Gonzalez</cp:lastModifiedBy>
  <cp:revision>2</cp:revision>
  <dcterms:created xsi:type="dcterms:W3CDTF">2026-08-03T14:37:00Z</dcterms:created>
  <dcterms:modified xsi:type="dcterms:W3CDTF">2026-08-03T14:37:00Z</dcterms:modified>
  <cp:category/>
</cp:coreProperties>
</file>