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Colombia Municipal Recruitment Evidence Base</w:t>
      </w:r>
    </w:p>
    <w:p>
      <w:pPr>
        <w:spacing w:after="200"/>
      </w:pPr>
      <w:r>
        <w:rPr>
          <w:rFonts w:ascii="Calibri" w:hAnsi="Calibri"/>
          <w:b/>
          <w:color w:val="0F766E"/>
          <w:sz w:val="23"/>
        </w:rPr>
        <w:t>Complete data dictionary, source guide and interpretation cautions  |  127 variables  |  2017–2020</w:t>
      </w:r>
    </w:p>
    <w:tbl>
      <w:tblPr>
        <w:tblW w:type="auto" w:w="0"/>
        <w:jc w:val="center"/>
        <w:tblLook w:firstColumn="1" w:firstRow="1" w:lastColumn="0" w:lastRow="0" w:noHBand="0" w:noVBand="1" w:val="04A0"/>
        <w:tblLayout w:type="fixed"/>
      </w:tblPr>
      <w:tblGrid>
        <w:gridCol w:w="14256"/>
      </w:tblGrid>
      <w:tr>
        <w:tc>
          <w:tcPr>
            <w:tcW w:type="dxa" w:w="14040"/>
            <w:shd w:fill="E8EEF5"/>
            <w:tcMar>
              <w:top w:w="130" w:type="dxa"/>
              <w:start w:w="150" w:type="dxa"/>
              <w:bottom w:w="130" w:type="dxa"/>
              <w:end w:w="150" w:type="dxa"/>
            </w:tcMar>
          </w:tcPr>
          <w:p>
            <w:pPr>
              <w:spacing w:after="60"/>
            </w:pPr>
            <w:r>
              <w:rPr>
                <w:rFonts w:ascii="Calibri" w:hAnsi="Calibri"/>
                <w:b/>
                <w:color w:val="16324F"/>
                <w:sz w:val="20"/>
              </w:rPr>
              <w:t>Purpose</w:t>
            </w:r>
          </w:p>
          <w:p>
            <w:pPr>
              <w:spacing w:after="0" w:line="259" w:lineRule="auto"/>
            </w:pPr>
            <w:r>
              <w:rPr>
                <w:rFonts w:ascii="Calibri" w:hAnsi="Calibri"/>
                <w:color w:val="243447"/>
                <w:sz w:val="17"/>
              </w:rPr>
              <w:t>This document explains every variable in Universe_Enhanced_Recruitment_Social_Data.xlsx. It preserves the provenance recorded in the earlier key, adds source links where a public portal or series can be identified, and makes data limitations visible. It contains underlying evidence only: no IPOR probability, risk category, ranking or score is reproduced.</w:t>
            </w:r>
          </w:p>
        </w:tc>
      </w:tr>
    </w:tbl>
    <w:p>
      <w:pPr>
        <w:pStyle w:val="Heading1"/>
      </w:pPr>
      <w:r>
        <w:t>1. What one row represents</w:t>
      </w:r>
    </w:p>
    <w:p>
      <w:pPr>
        <w:spacing w:after="0" w:line="252" w:lineRule="auto"/>
      </w:pPr>
      <w:r>
        <w:rPr>
          <w:rFonts w:ascii="Calibri" w:hAnsi="Calibri"/>
          <w:b w:val="0"/>
          <w:i w:val="0"/>
          <w:color w:val="243447"/>
          <w:sz w:val="18"/>
        </w:rPr>
        <w:t>Each row represents one Colombian municipality or territorial unit. The unit of analysis is therefore the municipality—not an individual child, household, armed group or recruitment event. A relationship found at municipal level must not be converted into a claim about every person within that municipality.</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4752"/>
        <w:gridCol w:w="4752"/>
        <w:gridCol w:w="4752"/>
      </w:tblGrid>
      <w:tr>
        <w:tc>
          <w:tcPr>
            <w:tcW w:type="dxa" w:w="1944"/>
            <w:vAlign w:val="center"/>
            <w:tcMar>
              <w:top w:w="70" w:type="dxa"/>
              <w:start w:w="95" w:type="dxa"/>
              <w:bottom w:w="70" w:type="dxa"/>
              <w:end w:w="95" w:type="dxa"/>
            </w:tcMar>
            <w:shd w:fill="16324F"/>
          </w:tcPr>
          <w:p>
            <w:pPr>
              <w:spacing w:after="0" w:line="240" w:lineRule="auto"/>
            </w:pPr>
            <w:r/>
            <w:r>
              <w:rPr>
                <w:rFonts w:ascii="Calibri" w:hAnsi="Calibri"/>
                <w:b/>
                <w:color w:val="FFFFFF"/>
                <w:sz w:val="16"/>
              </w:rPr>
              <w:t>Measure type</w:t>
            </w:r>
          </w:p>
        </w:tc>
        <w:tc>
          <w:tcPr>
            <w:tcW w:type="dxa" w:w="5760"/>
            <w:vAlign w:val="center"/>
            <w:tcMar>
              <w:top w:w="70" w:type="dxa"/>
              <w:start w:w="95" w:type="dxa"/>
              <w:bottom w:w="70" w:type="dxa"/>
              <w:end w:w="95" w:type="dxa"/>
            </w:tcMar>
            <w:shd w:fill="16324F"/>
          </w:tcPr>
          <w:p>
            <w:pPr>
              <w:spacing w:after="0" w:line="240" w:lineRule="auto"/>
            </w:pPr>
            <w:r/>
            <w:r>
              <w:rPr>
                <w:rFonts w:ascii="Calibri" w:hAnsi="Calibri"/>
                <w:b/>
                <w:color w:val="FFFFFF"/>
                <w:sz w:val="16"/>
              </w:rPr>
              <w:t>Plain-language meaning</w:t>
            </w:r>
          </w:p>
        </w:tc>
        <w:tc>
          <w:tcPr>
            <w:tcW w:type="dxa" w:w="6263"/>
            <w:vAlign w:val="center"/>
            <w:tcMar>
              <w:top w:w="70" w:type="dxa"/>
              <w:start w:w="95" w:type="dxa"/>
              <w:bottom w:w="70" w:type="dxa"/>
              <w:end w:w="95" w:type="dxa"/>
            </w:tcMar>
            <w:shd w:fill="16324F"/>
          </w:tcPr>
          <w:p>
            <w:pPr>
              <w:spacing w:after="0" w:line="240" w:lineRule="auto"/>
            </w:pPr>
            <w:r/>
            <w:r>
              <w:rPr>
                <w:rFonts w:ascii="Calibri" w:hAnsi="Calibri"/>
                <w:b/>
                <w:color w:val="FFFFFF"/>
                <w:sz w:val="16"/>
              </w:rPr>
              <w:t>Teaching rule</w:t>
            </w:r>
          </w:p>
        </w:tc>
      </w:tr>
      <w:tr>
        <w:trPr>
          <w:cantSplit/>
        </w:trPr>
        <w:tc>
          <w:tcPr>
            <w:tcW w:type="dxa" w:w="1944"/>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Count</w:t>
            </w:r>
          </w:p>
        </w:tc>
        <w:tc>
          <w:tcPr>
            <w:tcW w:type="dxa" w:w="5760"/>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How many recorded events or people were assigned to a municipality.</w:t>
            </w:r>
          </w:p>
        </w:tc>
        <w:tc>
          <w:tcPr>
            <w:tcW w:type="dxa" w:w="6263"/>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Large municipalities often have larger counts. Compare rates when a valid denominator exists.</w:t>
            </w:r>
          </w:p>
        </w:tc>
      </w:tr>
      <w:tr>
        <w:trPr>
          <w:cantSplit/>
        </w:trPr>
        <w:tc>
          <w:tcPr>
            <w:tcW w:type="dxa" w:w="1944"/>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Average</w:t>
            </w:r>
          </w:p>
        </w:tc>
        <w:tc>
          <w:tcPr>
            <w:tcW w:type="dxa" w:w="5760"/>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A total spread over the number of years, usually four.</w:t>
            </w:r>
          </w:p>
        </w:tc>
        <w:tc>
          <w:tcPr>
            <w:tcW w:type="dxa" w:w="6263"/>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An average hides whether events rose, fell or clustered in one year.</w:t>
            </w:r>
          </w:p>
        </w:tc>
      </w:tr>
      <w:tr>
        <w:trPr>
          <w:cantSplit/>
        </w:trPr>
        <w:tc>
          <w:tcPr>
            <w:tcW w:type="dxa" w:w="1944"/>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Binary 0/1</w:t>
            </w:r>
          </w:p>
        </w:tc>
        <w:tc>
          <w:tcPr>
            <w:tcW w:type="dxa" w:w="5760"/>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0 means the coded condition is absent; 1 means it is present.</w:t>
            </w:r>
          </w:p>
        </w:tc>
        <w:tc>
          <w:tcPr>
            <w:tcW w:type="dxa" w:w="6263"/>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It does not show how much, how intense or how long.</w:t>
            </w:r>
          </w:p>
        </w:tc>
      </w:tr>
      <w:tr>
        <w:trPr>
          <w:cantSplit/>
        </w:trPr>
        <w:tc>
          <w:tcPr>
            <w:tcW w:type="dxa" w:w="1944"/>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Rate</w:t>
            </w:r>
          </w:p>
        </w:tc>
        <w:tc>
          <w:tcPr>
            <w:tcW w:type="dxa" w:w="5760"/>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A count divided by a population and multiplied by 10,000 or 100,000.</w:t>
            </w:r>
          </w:p>
        </w:tc>
        <w:tc>
          <w:tcPr>
            <w:tcW w:type="dxa" w:w="6263"/>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Rates improve comparison but can be unstable in small populations.</w:t>
            </w:r>
          </w:p>
        </w:tc>
      </w:tr>
      <w:tr>
        <w:trPr>
          <w:cantSplit/>
        </w:trPr>
        <w:tc>
          <w:tcPr>
            <w:tcW w:type="dxa" w:w="1944"/>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Percent</w:t>
            </w:r>
          </w:p>
        </w:tc>
        <w:tc>
          <w:tcPr>
            <w:tcW w:type="dxa" w:w="5760"/>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A proportion out of 100.</w:t>
            </w:r>
          </w:p>
        </w:tc>
        <w:tc>
          <w:tcPr>
            <w:tcW w:type="dxa" w:w="6263"/>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Check whether the denominator is people, households, dwellings or land.</w:t>
            </w:r>
          </w:p>
        </w:tc>
      </w:tr>
    </w:tbl>
    <w:p>
      <w:pPr>
        <w:spacing w:after="20"/>
      </w:pPr>
    </w:p>
    <w:p>
      <w:pPr>
        <w:pStyle w:val="Heading1"/>
      </w:pPr>
      <w:r>
        <w:t>2. Keep the evidence types separate</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4752"/>
        <w:gridCol w:w="4752"/>
        <w:gridCol w:w="4752"/>
      </w:tblGrid>
      <w:tr>
        <w:tc>
          <w:tcPr>
            <w:tcW w:type="dxa" w:w="2448"/>
            <w:vAlign w:val="center"/>
            <w:tcMar>
              <w:top w:w="70" w:type="dxa"/>
              <w:start w:w="95" w:type="dxa"/>
              <w:bottom w:w="70" w:type="dxa"/>
              <w:end w:w="95" w:type="dxa"/>
            </w:tcMar>
            <w:shd w:fill="16324F"/>
          </w:tcPr>
          <w:p>
            <w:pPr>
              <w:spacing w:after="0" w:line="240" w:lineRule="auto"/>
            </w:pPr>
            <w:r/>
            <w:r>
              <w:rPr>
                <w:rFonts w:ascii="Calibri" w:hAnsi="Calibri"/>
                <w:b/>
                <w:color w:val="FFFFFF"/>
                <w:sz w:val="16"/>
              </w:rPr>
              <w:t>Evidence type</w:t>
            </w:r>
          </w:p>
        </w:tc>
        <w:tc>
          <w:tcPr>
            <w:tcW w:type="dxa" w:w="4464"/>
            <w:vAlign w:val="center"/>
            <w:tcMar>
              <w:top w:w="70" w:type="dxa"/>
              <w:start w:w="95" w:type="dxa"/>
              <w:bottom w:w="70" w:type="dxa"/>
              <w:end w:w="95" w:type="dxa"/>
            </w:tcMar>
            <w:shd w:fill="16324F"/>
          </w:tcPr>
          <w:p>
            <w:pPr>
              <w:spacing w:after="0" w:line="240" w:lineRule="auto"/>
            </w:pPr>
            <w:r/>
            <w:r>
              <w:rPr>
                <w:rFonts w:ascii="Calibri" w:hAnsi="Calibri"/>
                <w:b/>
                <w:color w:val="FFFFFF"/>
                <w:sz w:val="16"/>
              </w:rPr>
              <w:t>Examples</w:t>
            </w:r>
          </w:p>
        </w:tc>
        <w:tc>
          <w:tcPr>
            <w:tcW w:type="dxa" w:w="7056"/>
            <w:vAlign w:val="center"/>
            <w:tcMar>
              <w:top w:w="70" w:type="dxa"/>
              <w:start w:w="95" w:type="dxa"/>
              <w:bottom w:w="70" w:type="dxa"/>
              <w:end w:w="95" w:type="dxa"/>
            </w:tcMar>
            <w:shd w:fill="16324F"/>
          </w:tcPr>
          <w:p>
            <w:pPr>
              <w:spacing w:after="0" w:line="240" w:lineRule="auto"/>
            </w:pPr>
            <w:r/>
            <w:r>
              <w:rPr>
                <w:rFonts w:ascii="Calibri" w:hAnsi="Calibri"/>
                <w:b/>
                <w:color w:val="FFFFFF"/>
                <w:sz w:val="16"/>
              </w:rPr>
              <w:t>What it can support</w:t>
            </w:r>
          </w:p>
        </w:tc>
      </w:tr>
      <w:tr>
        <w:trPr>
          <w:cantSplit/>
        </w:trPr>
        <w:tc>
          <w:tcPr>
            <w:tcW w:type="dxa" w:w="2448"/>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Observed reported outcome</w:t>
            </w:r>
          </w:p>
        </w:tc>
        <w:tc>
          <w:tcPr>
            <w:tcW w:type="dxa" w:w="4464"/>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TotalRecruitment</w:t>
            </w:r>
          </w:p>
        </w:tc>
        <w:tc>
          <w:tcPr>
            <w:tcW w:type="dxa" w:w="7056"/>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Where reported recruitment cases were recorded; not the hidden total.</w:t>
            </w:r>
          </w:p>
        </w:tc>
      </w:tr>
      <w:tr>
        <w:trPr>
          <w:cantSplit/>
        </w:trPr>
        <w:tc>
          <w:tcPr>
            <w:tcW w:type="dxa" w:w="2448"/>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Conflict dynamics</w:t>
            </w:r>
          </w:p>
        </w:tc>
        <w:tc>
          <w:tcPr>
            <w:tcW w:type="dxa" w:w="4464"/>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Homicide, displacement, coca, actor presence/overlap</w:t>
            </w:r>
          </w:p>
        </w:tc>
        <w:tc>
          <w:tcPr>
            <w:tcW w:type="dxa" w:w="7056"/>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Whether recruitment is associated with coercive and competitive conflict environments.</w:t>
            </w:r>
          </w:p>
        </w:tc>
      </w:tr>
      <w:tr>
        <w:trPr>
          <w:cantSplit/>
        </w:trPr>
        <w:tc>
          <w:tcPr>
            <w:tcW w:type="dxa" w:w="2448"/>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Structural/social context</w:t>
            </w:r>
          </w:p>
        </w:tc>
        <w:tc>
          <w:tcPr>
            <w:tcW w:type="dxa" w:w="4464"/>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Poverty, education, employment, housing, services</w:t>
            </w:r>
          </w:p>
        </w:tc>
        <w:tc>
          <w:tcPr>
            <w:tcW w:type="dxa" w:w="7056"/>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Whether recruitment is associated with longer-term vulnerability.</w:t>
            </w:r>
          </w:p>
        </w:tc>
      </w:tr>
      <w:tr>
        <w:trPr>
          <w:cantSplit/>
        </w:trPr>
        <w:tc>
          <w:tcPr>
            <w:tcW w:type="dxa" w:w="2448"/>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Prospective warning</w:t>
            </w:r>
          </w:p>
        </w:tc>
        <w:tc>
          <w:tcPr>
            <w:tcW w:type="dxa" w:w="4464"/>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Early-warning variables</w:t>
            </w:r>
          </w:p>
        </w:tc>
        <w:tc>
          <w:tcPr>
            <w:tcW w:type="dxa" w:w="7056"/>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Where institutions anticipated or identified risk; not an observed case count.</w:t>
            </w:r>
          </w:p>
        </w:tc>
      </w:tr>
      <w:tr>
        <w:trPr>
          <w:cantSplit/>
        </w:trPr>
        <w:tc>
          <w:tcPr>
            <w:tcW w:type="dxa" w:w="2448"/>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Exit/service pathway</w:t>
            </w:r>
          </w:p>
        </w:tc>
        <w:tc>
          <w:tcPr>
            <w:tcW w:type="dxa" w:w="4464"/>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Disengagement variables</w:t>
            </w:r>
          </w:p>
        </w:tc>
        <w:tc>
          <w:tcPr>
            <w:tcW w:type="dxa" w:w="7056"/>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Where a child disengaged/was recorded by ICBF; not necessarily where recruitment occurred.</w:t>
            </w:r>
          </w:p>
        </w:tc>
      </w:tr>
    </w:tbl>
    <w:p>
      <w:pPr>
        <w:spacing w:after="20"/>
      </w:pPr>
    </w:p>
    <w:p>
      <w:pPr>
        <w:pStyle w:val="Heading1"/>
      </w:pPr>
      <w:r>
        <w:t>3. Why are some municipalities marked yellow?</w:t>
      </w:r>
    </w:p>
    <w:tbl>
      <w:tblPr>
        <w:tblW w:type="auto" w:w="0"/>
        <w:jc w:val="center"/>
        <w:tblLook w:firstColumn="1" w:firstRow="1" w:lastColumn="0" w:lastRow="0" w:noHBand="0" w:noVBand="1" w:val="04A0"/>
        <w:tblLayout w:type="fixed"/>
      </w:tblPr>
      <w:tblGrid>
        <w:gridCol w:w="14256"/>
      </w:tblGrid>
      <w:tr>
        <w:tc>
          <w:tcPr>
            <w:tcW w:type="dxa" w:w="14040"/>
            <w:shd w:fill="FFF4CC"/>
            <w:tcMar>
              <w:top w:w="130" w:type="dxa"/>
              <w:start w:w="150" w:type="dxa"/>
              <w:bottom w:w="130" w:type="dxa"/>
              <w:end w:w="150" w:type="dxa"/>
            </w:tcMar>
          </w:tcPr>
          <w:p>
            <w:pPr>
              <w:spacing w:after="60"/>
            </w:pPr>
            <w:r>
              <w:rPr>
                <w:rFonts w:ascii="Calibri" w:hAnsi="Calibri"/>
                <w:b/>
                <w:color w:val="7A4A00"/>
                <w:sz w:val="20"/>
              </w:rPr>
              <w:t>Evidence-based interpretation of yellow</w:t>
            </w:r>
          </w:p>
          <w:p>
            <w:pPr>
              <w:spacing w:after="0" w:line="259" w:lineRule="auto"/>
            </w:pPr>
            <w:r>
              <w:rPr>
                <w:rFonts w:ascii="Calibri" w:hAnsi="Calibri"/>
                <w:color w:val="243447"/>
                <w:sz w:val="17"/>
              </w:rPr>
              <w:t>The yellow formatting was already present in the original Universe 120622.xlsx and appears only in the legacy No cell for 17 records. Neither that workbook nor the previous key contains a legend, comment or note defining the colour. Yellow is therefore not a risk category and was not created by the enhanced matching process. It should be treated as a legacy manual review flag associated with recruitment/geographic reconciliation.</w:t>
            </w:r>
          </w:p>
        </w:tc>
      </w:tr>
    </w:tbl>
    <w:p>
      <w:pPr>
        <w:spacing w:after="0" w:line="252" w:lineRule="auto"/>
      </w:pPr>
      <w:r>
        <w:rPr>
          <w:rFonts w:ascii="Calibri" w:hAnsi="Calibri"/>
          <w:b w:val="0"/>
          <w:i w:val="0"/>
          <w:color w:val="243447"/>
          <w:sz w:val="18"/>
        </w:rPr>
        <w:t xml:space="preserve">What can be established: </w:t>
      </w:r>
      <w:r>
        <w:rPr>
          <w:rFonts w:ascii="Calibri" w:hAnsi="Calibri"/>
          <w:b w:val="0"/>
          <w:i w:val="0"/>
          <w:color w:val="243447"/>
          <w:sz w:val="18"/>
        </w:rPr>
        <w:t>all seven internal contradictions between TotalRecruitment and RecruitmentYesNo occur among the yellow records. The other ten yellow records do not share that contradiction, and their precise reason is undocumented. Those ten must remain labelled ‘verify against source’ unless the original compiler confirms the intended meaning.</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4752"/>
        <w:gridCol w:w="4752"/>
        <w:gridCol w:w="4752"/>
      </w:tblGrid>
      <w:tr>
        <w:tc>
          <w:tcPr>
            <w:tcW w:type="dxa" w:w="4464"/>
            <w:vAlign w:val="center"/>
            <w:tcMar>
              <w:top w:w="70" w:type="dxa"/>
              <w:start w:w="95" w:type="dxa"/>
              <w:bottom w:w="70" w:type="dxa"/>
              <w:end w:w="95" w:type="dxa"/>
            </w:tcMar>
            <w:shd w:fill="16324F"/>
          </w:tcPr>
          <w:p>
            <w:pPr>
              <w:spacing w:after="0" w:line="240" w:lineRule="auto"/>
            </w:pPr>
            <w:r/>
            <w:r>
              <w:rPr>
                <w:rFonts w:ascii="Calibri" w:hAnsi="Calibri"/>
                <w:b/>
                <w:color w:val="FFFFFF"/>
                <w:sz w:val="16"/>
              </w:rPr>
              <w:t>Yellow subset</w:t>
            </w:r>
          </w:p>
        </w:tc>
        <w:tc>
          <w:tcPr>
            <w:tcW w:type="dxa" w:w="1440"/>
            <w:vAlign w:val="center"/>
            <w:tcMar>
              <w:top w:w="70" w:type="dxa"/>
              <w:start w:w="95" w:type="dxa"/>
              <w:bottom w:w="70" w:type="dxa"/>
              <w:end w:w="95" w:type="dxa"/>
            </w:tcMar>
            <w:shd w:fill="16324F"/>
          </w:tcPr>
          <w:p>
            <w:pPr>
              <w:spacing w:after="0" w:line="240" w:lineRule="auto"/>
            </w:pPr>
            <w:r/>
            <w:r>
              <w:rPr>
                <w:rFonts w:ascii="Calibri" w:hAnsi="Calibri"/>
                <w:b/>
                <w:color w:val="FFFFFF"/>
                <w:sz w:val="16"/>
              </w:rPr>
              <w:t>Records</w:t>
            </w:r>
          </w:p>
        </w:tc>
        <w:tc>
          <w:tcPr>
            <w:tcW w:type="dxa" w:w="8063"/>
            <w:vAlign w:val="center"/>
            <w:tcMar>
              <w:top w:w="70" w:type="dxa"/>
              <w:start w:w="95" w:type="dxa"/>
              <w:bottom w:w="70" w:type="dxa"/>
              <w:end w:w="95" w:type="dxa"/>
            </w:tcMar>
            <w:shd w:fill="16324F"/>
          </w:tcPr>
          <w:p>
            <w:pPr>
              <w:spacing w:after="0" w:line="240" w:lineRule="auto"/>
            </w:pPr>
            <w:r/>
            <w:r>
              <w:rPr>
                <w:rFonts w:ascii="Calibri" w:hAnsi="Calibri"/>
                <w:b/>
                <w:color w:val="FFFFFF"/>
                <w:sz w:val="16"/>
              </w:rPr>
              <w:t>Recommended treatment</w:t>
            </w:r>
          </w:p>
        </w:tc>
      </w:tr>
      <w:tr>
        <w:trPr>
          <w:cantSplit/>
        </w:trPr>
        <w:tc>
          <w:tcPr>
            <w:tcW w:type="dxa" w:w="4464"/>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Confirmed count/binary contradiction</w:t>
            </w:r>
          </w:p>
        </w:tc>
        <w:tc>
          <w:tcPr>
            <w:tcW w:type="dxa" w:w="1440"/>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7</w:t>
            </w:r>
          </w:p>
        </w:tc>
        <w:tc>
          <w:tcPr>
            <w:tcW w:type="dxa" w:w="8063"/>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Recalculate RecruitmentYesNo from TotalRecruitment before any analysis.</w:t>
            </w:r>
          </w:p>
        </w:tc>
      </w:tr>
      <w:tr>
        <w:trPr>
          <w:cantSplit/>
        </w:trPr>
        <w:tc>
          <w:tcPr>
            <w:tcW w:type="dxa" w:w="4464"/>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Other legacy yellow marks</w:t>
            </w:r>
          </w:p>
        </w:tc>
        <w:tc>
          <w:tcPr>
            <w:tcW w:type="dxa" w:w="1440"/>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10</w:t>
            </w:r>
          </w:p>
        </w:tc>
        <w:tc>
          <w:tcPr>
            <w:tcW w:type="dxa" w:w="8063"/>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Do not guess. Retain the flag and verify against original source or compiler notes.</w:t>
            </w:r>
          </w:p>
        </w:tc>
      </w:tr>
    </w:tbl>
    <w:p>
      <w:pPr>
        <w:spacing w:after="20"/>
      </w:pPr>
    </w:p>
    <w:p>
      <w:pPr>
        <w:pStyle w:val="Heading1"/>
      </w:pPr>
      <w:r>
        <w:t>4. Main potential issues and safeguards</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4752"/>
        <w:gridCol w:w="4752"/>
        <w:gridCol w:w="4752"/>
      </w:tblGrid>
      <w:tr>
        <w:tc>
          <w:tcPr>
            <w:tcW w:type="dxa" w:w="2448"/>
            <w:vAlign w:val="center"/>
            <w:tcMar>
              <w:top w:w="70" w:type="dxa"/>
              <w:start w:w="95" w:type="dxa"/>
              <w:bottom w:w="70" w:type="dxa"/>
              <w:end w:w="95" w:type="dxa"/>
            </w:tcMar>
            <w:shd w:fill="16324F"/>
          </w:tcPr>
          <w:p>
            <w:pPr>
              <w:spacing w:after="0" w:line="240" w:lineRule="auto"/>
            </w:pPr>
            <w:r/>
            <w:r>
              <w:rPr>
                <w:rFonts w:ascii="Calibri" w:hAnsi="Calibri"/>
                <w:b/>
                <w:color w:val="FFFFFF"/>
                <w:sz w:val="16"/>
              </w:rPr>
              <w:t>Issue</w:t>
            </w:r>
          </w:p>
        </w:tc>
        <w:tc>
          <w:tcPr>
            <w:tcW w:type="dxa" w:w="5472"/>
            <w:vAlign w:val="center"/>
            <w:tcMar>
              <w:top w:w="70" w:type="dxa"/>
              <w:start w:w="95" w:type="dxa"/>
              <w:bottom w:w="70" w:type="dxa"/>
              <w:end w:w="95" w:type="dxa"/>
            </w:tcMar>
            <w:shd w:fill="16324F"/>
          </w:tcPr>
          <w:p>
            <w:pPr>
              <w:spacing w:after="0" w:line="240" w:lineRule="auto"/>
            </w:pPr>
            <w:r/>
            <w:r>
              <w:rPr>
                <w:rFonts w:ascii="Calibri" w:hAnsi="Calibri"/>
                <w:b/>
                <w:color w:val="FFFFFF"/>
                <w:sz w:val="16"/>
              </w:rPr>
              <w:t>Why it matters</w:t>
            </w:r>
          </w:p>
        </w:tc>
        <w:tc>
          <w:tcPr>
            <w:tcW w:type="dxa" w:w="6912"/>
            <w:vAlign w:val="center"/>
            <w:tcMar>
              <w:top w:w="70" w:type="dxa"/>
              <w:start w:w="95" w:type="dxa"/>
              <w:bottom w:w="70" w:type="dxa"/>
              <w:end w:w="95" w:type="dxa"/>
            </w:tcMar>
            <w:shd w:fill="16324F"/>
          </w:tcPr>
          <w:p>
            <w:pPr>
              <w:spacing w:after="0" w:line="240" w:lineRule="auto"/>
            </w:pPr>
            <w:r/>
            <w:r>
              <w:rPr>
                <w:rFonts w:ascii="Calibri" w:hAnsi="Calibri"/>
                <w:b/>
                <w:color w:val="FFFFFF"/>
                <w:sz w:val="16"/>
              </w:rPr>
              <w:t>Safeguard</w:t>
            </w:r>
          </w:p>
        </w:tc>
      </w:tr>
      <w:tr>
        <w:trPr>
          <w:cantSplit/>
        </w:trPr>
        <w:tc>
          <w:tcPr>
            <w:tcW w:type="dxa" w:w="2448"/>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Under-reporting</w:t>
            </w:r>
          </w:p>
        </w:tc>
        <w:tc>
          <w:tcPr>
            <w:tcW w:type="dxa" w:w="5472"/>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Recruitment and several crimes are hidden or difficult to report.</w:t>
            </w:r>
          </w:p>
        </w:tc>
        <w:tc>
          <w:tcPr>
            <w:tcW w:type="dxa" w:w="6912"/>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Use ‘reported cases’; do not describe the workbook as the true universe of recruitment.</w:t>
            </w:r>
          </w:p>
        </w:tc>
      </w:tr>
      <w:tr>
        <w:trPr>
          <w:cantSplit/>
        </w:trPr>
        <w:tc>
          <w:tcPr>
            <w:tcW w:type="dxa" w:w="2448"/>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Causation</w:t>
            </w:r>
          </w:p>
        </w:tc>
        <w:tc>
          <w:tcPr>
            <w:tcW w:type="dxa" w:w="5472"/>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Variables can move together because of common causes, reverse direction or omitted factors.</w:t>
            </w:r>
          </w:p>
        </w:tc>
        <w:tc>
          <w:tcPr>
            <w:tcW w:type="dxa" w:w="6912"/>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Use ‘associated with’ unless a stronger research design establishes cause.</w:t>
            </w:r>
          </w:p>
        </w:tc>
      </w:tr>
      <w:tr>
        <w:trPr>
          <w:cantSplit/>
        </w:trPr>
        <w:tc>
          <w:tcPr>
            <w:tcW w:type="dxa" w:w="2448"/>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Counts versus rates</w:t>
            </w:r>
          </w:p>
        </w:tc>
        <w:tc>
          <w:tcPr>
            <w:tcW w:type="dxa" w:w="5472"/>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Counts partly capture population size.</w:t>
            </w:r>
          </w:p>
        </w:tc>
        <w:tc>
          <w:tcPr>
            <w:tcW w:type="dxa" w:w="6912"/>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Use youth recruitment rates and homicide rates for municipal comparison; show counts for burden.</w:t>
            </w:r>
          </w:p>
        </w:tc>
      </w:tr>
      <w:tr>
        <w:trPr>
          <w:cantSplit/>
        </w:trPr>
        <w:tc>
          <w:tcPr>
            <w:tcW w:type="dxa" w:w="2448"/>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Time mismatch</w:t>
            </w:r>
          </w:p>
        </w:tc>
        <w:tc>
          <w:tcPr>
            <w:tcW w:type="dxa" w:w="5472"/>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Some variables are annual, some four-year averages and some static 2018 baselines.</w:t>
            </w:r>
          </w:p>
        </w:tc>
        <w:tc>
          <w:tcPr>
            <w:tcW w:type="dxa" w:w="6912"/>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State the years in every table/figure and do not describe 2018 poverty as annual.</w:t>
            </w:r>
          </w:p>
        </w:tc>
      </w:tr>
      <w:tr>
        <w:trPr>
          <w:cantSplit/>
        </w:trPr>
        <w:tc>
          <w:tcPr>
            <w:tcW w:type="dxa" w:w="2448"/>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Zero versus missing</w:t>
            </w:r>
          </w:p>
        </w:tc>
        <w:tc>
          <w:tcPr>
            <w:tcW w:type="dxa" w:w="5472"/>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A zero may mean no event; a blank means the value or denominator is unavailable.</w:t>
            </w:r>
          </w:p>
        </w:tc>
        <w:tc>
          <w:tcPr>
            <w:tcW w:type="dxa" w:w="6912"/>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Never replace blanks with zero without source justification.</w:t>
            </w:r>
          </w:p>
        </w:tc>
      </w:tr>
      <w:tr>
        <w:trPr>
          <w:cantSplit/>
        </w:trPr>
        <w:tc>
          <w:tcPr>
            <w:tcW w:type="dxa" w:w="2448"/>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Geography</w:t>
            </w:r>
          </w:p>
        </w:tc>
        <w:tc>
          <w:tcPr>
            <w:tcW w:type="dxa" w:w="5472"/>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Municipal names repeat and some territorial units are non-municipalized areas.</w:t>
            </w:r>
          </w:p>
        </w:tc>
        <w:tc>
          <w:tcPr>
            <w:tcW w:type="dxa" w:w="6912"/>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Join with MunicipalCode plus department; inspect Amazon/Orinoquía cases.</w:t>
            </w:r>
          </w:p>
        </w:tc>
      </w:tr>
      <w:tr>
        <w:trPr>
          <w:cantSplit/>
        </w:trPr>
        <w:tc>
          <w:tcPr>
            <w:tcW w:type="dxa" w:w="2448"/>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Overlap versus rivalry</w:t>
            </w:r>
          </w:p>
        </w:tc>
        <w:tc>
          <w:tcPr>
            <w:tcW w:type="dxa" w:w="5472"/>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Two actor families can coexist without fighting each other.</w:t>
            </w:r>
          </w:p>
        </w:tc>
        <w:tc>
          <w:tcPr>
            <w:tcW w:type="dxa" w:w="6912"/>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Call the variable co-presence/overlap; add event or qualitative evidence to claim rivalry.</w:t>
            </w:r>
          </w:p>
        </w:tc>
      </w:tr>
      <w:tr>
        <w:trPr>
          <w:cantSplit/>
        </w:trPr>
        <w:tc>
          <w:tcPr>
            <w:tcW w:type="dxa" w:w="2448"/>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Correlated social indicators</w:t>
            </w:r>
          </w:p>
        </w:tc>
        <w:tc>
          <w:tcPr>
            <w:tcW w:type="dxa" w:w="5472"/>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IPM components describe overlapping forms of deprivation.</w:t>
            </w:r>
          </w:p>
        </w:tc>
        <w:tc>
          <w:tcPr>
            <w:tcW w:type="dxa" w:w="6912"/>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Do not put every component into a small regression and interpret each as independent.</w:t>
            </w:r>
          </w:p>
        </w:tc>
      </w:tr>
      <w:tr>
        <w:trPr>
          <w:cantSplit/>
        </w:trPr>
        <w:tc>
          <w:tcPr>
            <w:tcW w:type="dxa" w:w="2448"/>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Source definitions</w:t>
            </w:r>
          </w:p>
        </w:tc>
        <w:tc>
          <w:tcPr>
            <w:tcW w:type="dxa" w:w="5472"/>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Organizations may define massacres, leaders, presence or warnings differently.</w:t>
            </w:r>
          </w:p>
        </w:tc>
        <w:tc>
          <w:tcPr>
            <w:tcW w:type="dxa" w:w="6912"/>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Retain source-specific wording and document any harmonisation.</w:t>
            </w:r>
          </w:p>
        </w:tc>
      </w:tr>
      <w:tr>
        <w:trPr>
          <w:cantSplit/>
        </w:trPr>
        <w:tc>
          <w:tcPr>
            <w:tcW w:type="dxa" w:w="2448"/>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Small denominators</w:t>
            </w:r>
          </w:p>
        </w:tc>
        <w:tc>
          <w:tcPr>
            <w:tcW w:type="dxa" w:w="5472"/>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A few events in a small municipality can create a high rate.</w:t>
            </w:r>
          </w:p>
        </w:tc>
        <w:tc>
          <w:tcPr>
            <w:tcW w:type="dxa" w:w="6912"/>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Show count and denominator alongside the rate; consider multi-year averages.</w:t>
            </w:r>
          </w:p>
        </w:tc>
      </w:tr>
      <w:tr>
        <w:trPr>
          <w:cantSplit/>
        </w:trPr>
        <w:tc>
          <w:tcPr>
            <w:tcW w:type="dxa" w:w="2448"/>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Legacy units</w:t>
            </w:r>
          </w:p>
        </w:tc>
        <w:tc>
          <w:tcPr>
            <w:tcW w:type="dxa" w:w="5472"/>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The previous key labels drug seizures as kilograms, but values require verification.</w:t>
            </w:r>
          </w:p>
        </w:tc>
        <w:tc>
          <w:tcPr>
            <w:tcW w:type="dxa" w:w="6912"/>
            <w:vAlign w:val="top"/>
            <w:tcMar>
              <w:top w:w="70" w:type="dxa"/>
              <w:start w:w="95" w:type="dxa"/>
              <w:bottom w:w="70" w:type="dxa"/>
              <w:end w:w="95" w:type="dxa"/>
            </w:tcMar>
            <w:shd w:fill="FFFFFF"/>
          </w:tcPr>
          <w:p>
            <w:pPr>
              <w:spacing w:after="0" w:line="240" w:lineRule="auto"/>
            </w:pPr>
            <w:r/>
            <w:r>
              <w:rPr>
                <w:rFonts w:ascii="Calibri" w:hAnsi="Calibri"/>
                <w:b w:val="0"/>
                <w:color w:val="243447"/>
                <w:sz w:val="15"/>
              </w:rPr>
              <w:t>Do not analyse seizure magnitudes until units are checked against source files.</w:t>
            </w:r>
          </w:p>
        </w:tc>
      </w:tr>
      <w:tr>
        <w:trPr>
          <w:cantSplit/>
        </w:trPr>
        <w:tc>
          <w:tcPr>
            <w:tcW w:type="dxa" w:w="2448"/>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Official anomalies</w:t>
            </w:r>
          </w:p>
        </w:tc>
        <w:tc>
          <w:tcPr>
            <w:tcW w:type="dxa" w:w="5472"/>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Fourteen education coverage records exceed 100; two repetition values are missing in 2019.</w:t>
            </w:r>
          </w:p>
        </w:tc>
        <w:tc>
          <w:tcPr>
            <w:tcW w:type="dxa" w:w="6912"/>
            <w:vAlign w:val="top"/>
            <w:tcMar>
              <w:top w:w="70" w:type="dxa"/>
              <w:start w:w="95" w:type="dxa"/>
              <w:bottom w:w="70" w:type="dxa"/>
              <w:end w:w="95" w:type="dxa"/>
            </w:tcMar>
            <w:shd w:fill="F4F6F8"/>
          </w:tcPr>
          <w:p>
            <w:pPr>
              <w:spacing w:after="0" w:line="240" w:lineRule="auto"/>
            </w:pPr>
            <w:r/>
            <w:r>
              <w:rPr>
                <w:rFonts w:ascii="Calibri" w:hAnsi="Calibri"/>
                <w:b w:val="0"/>
                <w:color w:val="243447"/>
                <w:sz w:val="15"/>
              </w:rPr>
              <w:t>Keep the original value, flag it and test results with/without anomalous records.</w:t>
            </w:r>
          </w:p>
        </w:tc>
      </w:tr>
    </w:tbl>
    <w:p>
      <w:pPr>
        <w:spacing w:after="20"/>
      </w:pPr>
    </w:p>
    <w:p>
      <w:pPr>
        <w:pStyle w:val="Heading1"/>
      </w:pPr>
      <w:r>
        <w:t>5. Source-link rule</w:t>
      </w:r>
    </w:p>
    <w:p>
      <w:pPr>
        <w:spacing w:after="0" w:line="252" w:lineRule="auto"/>
      </w:pPr>
      <w:r>
        <w:rPr>
          <w:rFonts w:ascii="Calibri" w:hAnsi="Calibri"/>
          <w:b w:val="0"/>
          <w:i w:val="0"/>
          <w:color w:val="243447"/>
          <w:sz w:val="17"/>
        </w:rPr>
        <w:t>The earlier key often recorded only an organisation name, not the exact download URL or extraction date. In the dictionary below, a link therefore points either to the exact public dataset used for the enhancement or to the closest official/source organisation portal that supports the recorded provenance. A portal link is not evidence that the exact legacy file was downloaded there. User-supplied files are named but cannot be replaced by a public link where none was retained.</w:t>
      </w:r>
    </w:p>
    <w:p>
      <w:pPr>
        <w:pStyle w:val="Heading1"/>
      </w:pPr>
      <w:r>
        <w:t>6. Source register</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2232"/>
            <w:vAlign w:val="top"/>
            <w:tcMar>
              <w:top w:w="70" w:type="dxa"/>
              <w:start w:w="95" w:type="dxa"/>
              <w:bottom w:w="70" w:type="dxa"/>
              <w:end w:w="95" w:type="dxa"/>
            </w:tcMar>
            <w:shd w:fill="16324F"/>
          </w:tcPr>
          <w:p>
            <w:pPr>
              <w:spacing w:after="0" w:line="240" w:lineRule="auto"/>
            </w:pPr>
            <w:r/>
            <w:r>
              <w:rPr>
                <w:rFonts w:ascii="Calibri" w:hAnsi="Calibri"/>
                <w:b/>
                <w:color w:val="FFFFFF"/>
                <w:sz w:val="15"/>
              </w:rPr>
              <w:t>Variable group</w:t>
            </w:r>
          </w:p>
        </w:tc>
        <w:tc>
          <w:tcPr>
            <w:tcW w:type="dxa" w:w="3528"/>
            <w:vAlign w:val="top"/>
            <w:tcMar>
              <w:top w:w="70" w:type="dxa"/>
              <w:start w:w="95" w:type="dxa"/>
              <w:bottom w:w="70" w:type="dxa"/>
              <w:end w:w="95" w:type="dxa"/>
            </w:tcMar>
            <w:shd w:fill="16324F"/>
          </w:tcPr>
          <w:p>
            <w:pPr>
              <w:spacing w:after="0" w:line="240" w:lineRule="auto"/>
            </w:pPr>
            <w:r/>
            <w:r>
              <w:rPr>
                <w:rFonts w:ascii="Calibri" w:hAnsi="Calibri"/>
                <w:b/>
                <w:color w:val="FFFFFF"/>
                <w:sz w:val="15"/>
              </w:rPr>
              <w:t>Recorded source</w:t>
            </w:r>
          </w:p>
        </w:tc>
        <w:tc>
          <w:tcPr>
            <w:tcW w:type="dxa" w:w="4320"/>
            <w:vAlign w:val="top"/>
            <w:tcMar>
              <w:top w:w="70" w:type="dxa"/>
              <w:start w:w="95" w:type="dxa"/>
              <w:bottom w:w="70" w:type="dxa"/>
              <w:end w:w="95" w:type="dxa"/>
            </w:tcMar>
            <w:shd w:fill="16324F"/>
          </w:tcPr>
          <w:p>
            <w:pPr>
              <w:spacing w:after="0" w:line="240" w:lineRule="auto"/>
            </w:pPr>
            <w:r/>
            <w:r>
              <w:rPr>
                <w:rFonts w:ascii="Calibri" w:hAnsi="Calibri"/>
                <w:b/>
                <w:color w:val="FFFFFF"/>
                <w:sz w:val="15"/>
              </w:rPr>
              <w:t>Public link(s)</w:t>
            </w:r>
          </w:p>
        </w:tc>
        <w:tc>
          <w:tcPr>
            <w:tcW w:type="dxa" w:w="3888"/>
            <w:vAlign w:val="top"/>
            <w:tcMar>
              <w:top w:w="70" w:type="dxa"/>
              <w:start w:w="95" w:type="dxa"/>
              <w:bottom w:w="70" w:type="dxa"/>
              <w:end w:w="95" w:type="dxa"/>
            </w:tcMar>
            <w:shd w:fill="16324F"/>
          </w:tcPr>
          <w:p>
            <w:pPr>
              <w:spacing w:after="0" w:line="240" w:lineRule="auto"/>
            </w:pPr>
            <w:r/>
            <w:r>
              <w:rPr>
                <w:rFonts w:ascii="Calibri" w:hAnsi="Calibri"/>
                <w:b/>
                <w:color w:val="FFFFFF"/>
                <w:sz w:val="15"/>
              </w:rPr>
              <w:t>Provenance note</w:t>
            </w:r>
          </w:p>
        </w:tc>
      </w:tr>
      <w:tr>
        <w:trPr>
          <w:cantSplit/>
        </w:trPr>
        <w:tc>
          <w:tcPr>
            <w:tcW w:type="dxa" w:w="2232"/>
            <w:vAlign w:val="top"/>
            <w:tcMar>
              <w:top w:w="70" w:type="dxa"/>
              <w:start w:w="95" w:type="dxa"/>
              <w:bottom w:w="70" w:type="dxa"/>
              <w:end w:w="95" w:type="dxa"/>
            </w:tcMar>
            <w:shd w:fill="FFFFFF"/>
          </w:tcPr>
          <w:p>
            <w:pPr>
              <w:spacing w:after="0" w:line="240" w:lineRule="auto"/>
            </w:pPr>
            <w:r/>
            <w:r>
              <w:rPr>
                <w:rFonts w:ascii="Calibri" w:hAnsi="Calibri"/>
                <w:b/>
                <w:color w:val="16324F"/>
                <w:sz w:val="14"/>
              </w:rPr>
              <w:t>Reported recruitment</w:t>
            </w:r>
          </w:p>
        </w:tc>
        <w:tc>
          <w:tcPr>
            <w:tcW w:type="dxa" w:w="352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Unidad para las Víctimas; COALICO; fieldwork</w:t>
            </w:r>
          </w:p>
        </w:tc>
        <w:tc>
          <w:tcPr>
            <w:tcW w:type="dxa" w:w="4320"/>
            <w:shd w:fill="FFFFFF"/>
          </w:tcPr>
          <w:p>
            <w:pPr>
              <w:spacing w:after="0"/>
            </w:pPr>
            <w:r/>
            <w:hyperlink r:id="rId11">
              <w:r>
                <w:rPr>
                  <w:color w:val="2E74B5"/>
                  <w:u w:val="single"/>
                </w:rPr>
                <w:t>Unidad para las Víctimas — Datos Paz</w:t>
              </w:r>
            </w:hyperlink>
          </w:p>
          <w:p>
            <w:pPr>
              <w:spacing w:after="0"/>
            </w:pPr>
            <w:hyperlink r:id="rId12">
              <w:r>
                <w:rPr>
                  <w:color w:val="2E74B5"/>
                  <w:u w:val="single"/>
                </w:rPr>
                <w:t>COALICO — publications and ONCA monitoring</w:t>
              </w:r>
            </w:hyperlink>
          </w:p>
        </w:tc>
        <w:tc>
          <w:tcPr>
            <w:tcW w:type="dxa" w:w="388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Legacy key; exact integrated extraction not attached.</w:t>
            </w:r>
          </w:p>
        </w:tc>
      </w:tr>
      <w:tr>
        <w:trPr>
          <w:cantSplit/>
        </w:trPr>
        <w:tc>
          <w:tcPr>
            <w:tcW w:type="dxa" w:w="2232"/>
            <w:vAlign w:val="top"/>
            <w:tcMar>
              <w:top w:w="70" w:type="dxa"/>
              <w:start w:w="95" w:type="dxa"/>
              <w:bottom w:w="70" w:type="dxa"/>
              <w:end w:w="95" w:type="dxa"/>
            </w:tcMar>
            <w:shd w:fill="F4F6F8"/>
          </w:tcPr>
          <w:p>
            <w:pPr>
              <w:spacing w:after="0" w:line="240" w:lineRule="auto"/>
            </w:pPr>
            <w:r/>
            <w:r>
              <w:rPr>
                <w:rFonts w:ascii="Calibri" w:hAnsi="Calibri"/>
                <w:b/>
                <w:color w:val="16324F"/>
                <w:sz w:val="14"/>
              </w:rPr>
              <w:t>Displacement</w:t>
            </w:r>
          </w:p>
        </w:tc>
        <w:tc>
          <w:tcPr>
            <w:tcW w:type="dxa" w:w="352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Unidad para las Víctimas</w:t>
            </w:r>
          </w:p>
        </w:tc>
        <w:tc>
          <w:tcPr>
            <w:tcW w:type="dxa" w:w="4320"/>
            <w:shd w:fill="F4F6F8"/>
          </w:tcPr>
          <w:p>
            <w:pPr>
              <w:spacing w:after="0"/>
            </w:pPr>
            <w:r/>
            <w:hyperlink r:id="rId11">
              <w:r>
                <w:rPr>
                  <w:color w:val="2E74B5"/>
                  <w:u w:val="single"/>
                </w:rPr>
                <w:t>Unidad para las Víctimas — Datos Paz</w:t>
              </w:r>
            </w:hyperlink>
          </w:p>
        </w:tc>
        <w:tc>
          <w:tcPr>
            <w:tcW w:type="dxa" w:w="388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Check occurrence/expulsion/reception geography.</w:t>
            </w:r>
          </w:p>
        </w:tc>
      </w:tr>
      <w:tr>
        <w:trPr>
          <w:cantSplit/>
        </w:trPr>
        <w:tc>
          <w:tcPr>
            <w:tcW w:type="dxa" w:w="2232"/>
            <w:vAlign w:val="top"/>
            <w:tcMar>
              <w:top w:w="70" w:type="dxa"/>
              <w:start w:w="95" w:type="dxa"/>
              <w:bottom w:w="70" w:type="dxa"/>
              <w:end w:w="95" w:type="dxa"/>
            </w:tcMar>
            <w:shd w:fill="FFFFFF"/>
          </w:tcPr>
          <w:p>
            <w:pPr>
              <w:spacing w:after="0" w:line="240" w:lineRule="auto"/>
            </w:pPr>
            <w:r/>
            <w:r>
              <w:rPr>
                <w:rFonts w:ascii="Calibri" w:hAnsi="Calibri"/>
                <w:b/>
                <w:color w:val="16324F"/>
                <w:sz w:val="14"/>
              </w:rPr>
              <w:t>Former FARC/signatory murders</w:t>
            </w:r>
          </w:p>
        </w:tc>
        <w:tc>
          <w:tcPr>
            <w:tcW w:type="dxa" w:w="352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Comunes; press reports; OCCO compilation</w:t>
            </w:r>
          </w:p>
        </w:tc>
        <w:tc>
          <w:tcPr>
            <w:tcW w:type="dxa" w:w="4320"/>
            <w:shd w:fill="FFFFFF"/>
          </w:tcPr>
          <w:p>
            <w:pPr>
              <w:spacing w:after="0"/>
            </w:pPr>
            <w:r/>
            <w:hyperlink r:id="rId13">
              <w:r>
                <w:rPr>
                  <w:color w:val="2E74B5"/>
                  <w:u w:val="single"/>
                </w:rPr>
                <w:t>Indepaz — murdered peace signatories viewer</w:t>
              </w:r>
            </w:hyperlink>
          </w:p>
        </w:tc>
        <w:tc>
          <w:tcPr>
            <w:tcW w:type="dxa" w:w="388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Indepaz viewer supplied as a public comparison route; not a substitute for the original compilation.</w:t>
            </w:r>
          </w:p>
        </w:tc>
      </w:tr>
      <w:tr>
        <w:trPr>
          <w:cantSplit/>
        </w:trPr>
        <w:tc>
          <w:tcPr>
            <w:tcW w:type="dxa" w:w="2232"/>
            <w:vAlign w:val="top"/>
            <w:tcMar>
              <w:top w:w="70" w:type="dxa"/>
              <w:start w:w="95" w:type="dxa"/>
              <w:bottom w:w="70" w:type="dxa"/>
              <w:end w:w="95" w:type="dxa"/>
            </w:tcMar>
            <w:shd w:fill="F4F6F8"/>
          </w:tcPr>
          <w:p>
            <w:pPr>
              <w:spacing w:after="0" w:line="240" w:lineRule="auto"/>
            </w:pPr>
            <w:r/>
            <w:r>
              <w:rPr>
                <w:rFonts w:ascii="Calibri" w:hAnsi="Calibri"/>
                <w:b/>
                <w:color w:val="16324F"/>
                <w:sz w:val="14"/>
              </w:rPr>
              <w:t>Social-leader murders</w:t>
            </w:r>
          </w:p>
        </w:tc>
        <w:tc>
          <w:tcPr>
            <w:tcW w:type="dxa" w:w="352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Programa Somos Defensores</w:t>
            </w:r>
          </w:p>
        </w:tc>
        <w:tc>
          <w:tcPr>
            <w:tcW w:type="dxa" w:w="4320"/>
            <w:shd w:fill="F4F6F8"/>
          </w:tcPr>
          <w:p>
            <w:pPr>
              <w:spacing w:after="0"/>
            </w:pPr>
            <w:r/>
            <w:hyperlink r:id="rId14">
              <w:r>
                <w:rPr>
                  <w:color w:val="2E74B5"/>
                  <w:u w:val="single"/>
                </w:rPr>
                <w:t>Programa Somos Defensores — annual reports</w:t>
              </w:r>
            </w:hyperlink>
          </w:p>
        </w:tc>
        <w:tc>
          <w:tcPr>
            <w:tcW w:type="dxa" w:w="388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Annual reports.</w:t>
            </w:r>
          </w:p>
        </w:tc>
      </w:tr>
      <w:tr>
        <w:trPr>
          <w:cantSplit/>
        </w:trPr>
        <w:tc>
          <w:tcPr>
            <w:tcW w:type="dxa" w:w="2232"/>
            <w:vAlign w:val="top"/>
            <w:tcMar>
              <w:top w:w="70" w:type="dxa"/>
              <w:start w:w="95" w:type="dxa"/>
              <w:bottom w:w="70" w:type="dxa"/>
              <w:end w:w="95" w:type="dxa"/>
            </w:tcMar>
            <w:shd w:fill="FFFFFF"/>
          </w:tcPr>
          <w:p>
            <w:pPr>
              <w:spacing w:after="0" w:line="240" w:lineRule="auto"/>
            </w:pPr>
            <w:r/>
            <w:r>
              <w:rPr>
                <w:rFonts w:ascii="Calibri" w:hAnsi="Calibri"/>
                <w:b/>
                <w:color w:val="16324F"/>
                <w:sz w:val="14"/>
              </w:rPr>
              <w:t>Press-freedom violations</w:t>
            </w:r>
          </w:p>
        </w:tc>
        <w:tc>
          <w:tcPr>
            <w:tcW w:type="dxa" w:w="352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FLIP</w:t>
            </w:r>
          </w:p>
        </w:tc>
        <w:tc>
          <w:tcPr>
            <w:tcW w:type="dxa" w:w="4320"/>
            <w:shd w:fill="FFFFFF"/>
          </w:tcPr>
          <w:p>
            <w:pPr>
              <w:spacing w:after="0"/>
            </w:pPr>
            <w:r/>
            <w:hyperlink r:id="rId15">
              <w:r>
                <w:rPr>
                  <w:color w:val="2E74B5"/>
                  <w:u w:val="single"/>
                </w:rPr>
                <w:t>FLIP — press-freedom monitoring</w:t>
              </w:r>
            </w:hyperlink>
          </w:p>
        </w:tc>
        <w:tc>
          <w:tcPr>
            <w:tcW w:type="dxa" w:w="388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Monitoring portal.</w:t>
            </w:r>
          </w:p>
        </w:tc>
      </w:tr>
      <w:tr>
        <w:trPr>
          <w:cantSplit/>
        </w:trPr>
        <w:tc>
          <w:tcPr>
            <w:tcW w:type="dxa" w:w="2232"/>
            <w:vAlign w:val="top"/>
            <w:tcMar>
              <w:top w:w="70" w:type="dxa"/>
              <w:start w:w="95" w:type="dxa"/>
              <w:bottom w:w="70" w:type="dxa"/>
              <w:end w:w="95" w:type="dxa"/>
            </w:tcMar>
            <w:shd w:fill="F4F6F8"/>
          </w:tcPr>
          <w:p>
            <w:pPr>
              <w:spacing w:after="0" w:line="240" w:lineRule="auto"/>
            </w:pPr>
            <w:r/>
            <w:r>
              <w:rPr>
                <w:rFonts w:ascii="Calibri" w:hAnsi="Calibri"/>
                <w:b/>
                <w:color w:val="16324F"/>
                <w:sz w:val="14"/>
              </w:rPr>
              <w:t>Massacres</w:t>
            </w:r>
          </w:p>
        </w:tc>
        <w:tc>
          <w:tcPr>
            <w:tcW w:type="dxa" w:w="352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Indepaz; Rutas del Conflicto</w:t>
            </w:r>
          </w:p>
        </w:tc>
        <w:tc>
          <w:tcPr>
            <w:tcW w:type="dxa" w:w="4320"/>
            <w:shd w:fill="F4F6F8"/>
          </w:tcPr>
          <w:p>
            <w:pPr>
              <w:spacing w:after="0"/>
            </w:pPr>
            <w:r/>
            <w:hyperlink r:id="rId16">
              <w:r>
                <w:rPr>
                  <w:color w:val="2E74B5"/>
                  <w:u w:val="single"/>
                </w:rPr>
                <w:t>Indepaz — massacres series</w:t>
              </w:r>
            </w:hyperlink>
          </w:p>
          <w:p>
            <w:pPr>
              <w:spacing w:after="0"/>
            </w:pPr>
            <w:hyperlink r:id="rId17">
              <w:r>
                <w:rPr>
                  <w:color w:val="2E74B5"/>
                  <w:u w:val="single"/>
                </w:rPr>
                <w:t>Rutas del Conflicto — massacres map</w:t>
              </w:r>
            </w:hyperlink>
          </w:p>
        </w:tc>
        <w:tc>
          <w:tcPr>
            <w:tcW w:type="dxa" w:w="388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Legacy key notes no 2019 data.</w:t>
            </w:r>
          </w:p>
        </w:tc>
      </w:tr>
      <w:tr>
        <w:trPr>
          <w:cantSplit/>
        </w:trPr>
        <w:tc>
          <w:tcPr>
            <w:tcW w:type="dxa" w:w="2232"/>
            <w:vAlign w:val="top"/>
            <w:tcMar>
              <w:top w:w="70" w:type="dxa"/>
              <w:start w:w="95" w:type="dxa"/>
              <w:bottom w:w="70" w:type="dxa"/>
              <w:end w:w="95" w:type="dxa"/>
            </w:tcMar>
            <w:shd w:fill="FFFFFF"/>
          </w:tcPr>
          <w:p>
            <w:pPr>
              <w:spacing w:after="0" w:line="240" w:lineRule="auto"/>
            </w:pPr>
            <w:r/>
            <w:r>
              <w:rPr>
                <w:rFonts w:ascii="Calibri" w:hAnsi="Calibri"/>
                <w:b/>
                <w:color w:val="16324F"/>
                <w:sz w:val="14"/>
              </w:rPr>
              <w:t>Crime and seizures</w:t>
            </w:r>
          </w:p>
        </w:tc>
        <w:tc>
          <w:tcPr>
            <w:tcW w:type="dxa" w:w="352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Policía Nacional</w:t>
            </w:r>
          </w:p>
        </w:tc>
        <w:tc>
          <w:tcPr>
            <w:tcW w:type="dxa" w:w="4320"/>
            <w:shd w:fill="FFFFFF"/>
          </w:tcPr>
          <w:p>
            <w:pPr>
              <w:spacing w:after="0"/>
            </w:pPr>
            <w:r/>
            <w:hyperlink r:id="rId18">
              <w:r>
                <w:rPr>
                  <w:color w:val="2E74B5"/>
                  <w:u w:val="single"/>
                </w:rPr>
                <w:t>Policía Nacional — historical crime statistics</w:t>
              </w:r>
            </w:hyperlink>
          </w:p>
          <w:p>
            <w:pPr>
              <w:spacing w:after="0"/>
            </w:pPr>
            <w:hyperlink r:id="rId19">
              <w:r>
                <w:rPr>
                  <w:color w:val="2E74B5"/>
                  <w:u w:val="single"/>
                </w:rPr>
                <w:t>Policía Nacional open data — HOMICIDIO</w:t>
              </w:r>
            </w:hyperlink>
          </w:p>
        </w:tc>
        <w:tc>
          <w:tcPr>
            <w:tcW w:type="dxa" w:w="388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Historical portal plus exact homicide open dataset.</w:t>
            </w:r>
          </w:p>
        </w:tc>
      </w:tr>
      <w:tr>
        <w:trPr>
          <w:cantSplit/>
        </w:trPr>
        <w:tc>
          <w:tcPr>
            <w:tcW w:type="dxa" w:w="2232"/>
            <w:vAlign w:val="top"/>
            <w:tcMar>
              <w:top w:w="70" w:type="dxa"/>
              <w:start w:w="95" w:type="dxa"/>
              <w:bottom w:w="70" w:type="dxa"/>
              <w:end w:w="95" w:type="dxa"/>
            </w:tcMar>
            <w:shd w:fill="F4F6F8"/>
          </w:tcPr>
          <w:p>
            <w:pPr>
              <w:spacing w:after="0" w:line="240" w:lineRule="auto"/>
            </w:pPr>
            <w:r/>
            <w:r>
              <w:rPr>
                <w:rFonts w:ascii="Calibri" w:hAnsi="Calibri"/>
                <w:b/>
                <w:color w:val="16324F"/>
                <w:sz w:val="14"/>
              </w:rPr>
              <w:t>Education</w:t>
            </w:r>
          </w:p>
        </w:tc>
        <w:tc>
          <w:tcPr>
            <w:tcW w:type="dxa" w:w="352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Ministerio de Educación Nacional</w:t>
            </w:r>
          </w:p>
        </w:tc>
        <w:tc>
          <w:tcPr>
            <w:tcW w:type="dxa" w:w="4320"/>
            <w:shd w:fill="F4F6F8"/>
          </w:tcPr>
          <w:p>
            <w:pPr>
              <w:spacing w:after="0"/>
            </w:pPr>
            <w:r/>
            <w:hyperlink r:id="rId20">
              <w:r>
                <w:rPr>
                  <w:color w:val="2E74B5"/>
                  <w:u w:val="single"/>
                </w:rPr>
                <w:t>Ministerio de Educación — municipal education statistics</w:t>
              </w:r>
            </w:hyperlink>
          </w:p>
        </w:tc>
        <w:tc>
          <w:tcPr>
            <w:tcW w:type="dxa" w:w="388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Exact municipal open dataset for added coverage/repetition variables.</w:t>
            </w:r>
          </w:p>
        </w:tc>
      </w:tr>
      <w:tr>
        <w:trPr>
          <w:cantSplit/>
        </w:trPr>
        <w:tc>
          <w:tcPr>
            <w:tcW w:type="dxa" w:w="2232"/>
            <w:vAlign w:val="top"/>
            <w:tcMar>
              <w:top w:w="70" w:type="dxa"/>
              <w:start w:w="95" w:type="dxa"/>
              <w:bottom w:w="70" w:type="dxa"/>
              <w:end w:w="95" w:type="dxa"/>
            </w:tcMar>
            <w:shd w:fill="FFFFFF"/>
          </w:tcPr>
          <w:p>
            <w:pPr>
              <w:spacing w:after="0" w:line="240" w:lineRule="auto"/>
            </w:pPr>
            <w:r/>
            <w:r>
              <w:rPr>
                <w:rFonts w:ascii="Calibri" w:hAnsi="Calibri"/>
                <w:b/>
                <w:color w:val="16324F"/>
                <w:sz w:val="14"/>
              </w:rPr>
              <w:t>Unemployment</w:t>
            </w:r>
          </w:p>
        </w:tc>
        <w:tc>
          <w:tcPr>
            <w:tcW w:type="dxa" w:w="352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DANE</w:t>
            </w:r>
          </w:p>
        </w:tc>
        <w:tc>
          <w:tcPr>
            <w:tcW w:type="dxa" w:w="4320"/>
            <w:shd w:fill="FFFFFF"/>
          </w:tcPr>
          <w:p>
            <w:pPr>
              <w:spacing w:after="0"/>
            </w:pPr>
            <w:r/>
            <w:hyperlink r:id="rId21">
              <w:r>
                <w:rPr>
                  <w:color w:val="2E74B5"/>
                  <w:u w:val="single"/>
                </w:rPr>
                <w:t>DANE — labour-market statistics</w:t>
              </w:r>
            </w:hyperlink>
          </w:p>
        </w:tc>
        <w:tc>
          <w:tcPr>
            <w:tcW w:type="dxa" w:w="388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Legacy source; incomplete municipal coverage noted.</w:t>
            </w:r>
          </w:p>
        </w:tc>
      </w:tr>
      <w:tr>
        <w:trPr>
          <w:cantSplit/>
        </w:trPr>
        <w:tc>
          <w:tcPr>
            <w:tcW w:type="dxa" w:w="2232"/>
            <w:vAlign w:val="top"/>
            <w:tcMar>
              <w:top w:w="70" w:type="dxa"/>
              <w:start w:w="95" w:type="dxa"/>
              <w:bottom w:w="70" w:type="dxa"/>
              <w:end w:w="95" w:type="dxa"/>
            </w:tcMar>
            <w:shd w:fill="F4F6F8"/>
          </w:tcPr>
          <w:p>
            <w:pPr>
              <w:spacing w:after="0" w:line="240" w:lineRule="auto"/>
            </w:pPr>
            <w:r/>
            <w:r>
              <w:rPr>
                <w:rFonts w:ascii="Calibri" w:hAnsi="Calibri"/>
                <w:b/>
                <w:color w:val="16324F"/>
                <w:sz w:val="14"/>
              </w:rPr>
              <w:t>Poverty/IPM</w:t>
            </w:r>
          </w:p>
        </w:tc>
        <w:tc>
          <w:tcPr>
            <w:tcW w:type="dxa" w:w="352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DANE CNPV 2018 annex</w:t>
            </w:r>
          </w:p>
        </w:tc>
        <w:tc>
          <w:tcPr>
            <w:tcW w:type="dxa" w:w="4320"/>
            <w:shd w:fill="F4F6F8"/>
          </w:tcPr>
          <w:p>
            <w:pPr>
              <w:spacing w:after="0"/>
            </w:pPr>
            <w:r/>
            <w:hyperlink r:id="rId22">
              <w:r>
                <w:rPr>
                  <w:color w:val="2E74B5"/>
                  <w:u w:val="single"/>
                </w:rPr>
                <w:t>DANE — 2018 municipal census-based multidimensional poverty</w:t>
              </w:r>
            </w:hyperlink>
          </w:p>
        </w:tc>
        <w:tc>
          <w:tcPr>
            <w:tcW w:type="dxa" w:w="388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Exact supplied file: Anexos_medida_pobreza_mun_CNPV_2018.xlsx.</w:t>
            </w:r>
          </w:p>
        </w:tc>
      </w:tr>
      <w:tr>
        <w:trPr>
          <w:cantSplit/>
        </w:trPr>
        <w:tc>
          <w:tcPr>
            <w:tcW w:type="dxa" w:w="2232"/>
            <w:vAlign w:val="top"/>
            <w:tcMar>
              <w:top w:w="70" w:type="dxa"/>
              <w:start w:w="95" w:type="dxa"/>
              <w:bottom w:w="70" w:type="dxa"/>
              <w:end w:w="95" w:type="dxa"/>
            </w:tcMar>
            <w:shd w:fill="FFFFFF"/>
          </w:tcPr>
          <w:p>
            <w:pPr>
              <w:spacing w:after="0" w:line="240" w:lineRule="auto"/>
            </w:pPr>
            <w:r/>
            <w:r>
              <w:rPr>
                <w:rFonts w:ascii="Calibri" w:hAnsi="Calibri"/>
                <w:b/>
                <w:color w:val="16324F"/>
                <w:sz w:val="14"/>
              </w:rPr>
              <w:t>Population/ethnicity</w:t>
            </w:r>
          </w:p>
        </w:tc>
        <w:tc>
          <w:tcPr>
            <w:tcW w:type="dxa" w:w="352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DANE projections and CNPV/DNP extract</w:t>
            </w:r>
          </w:p>
        </w:tc>
        <w:tc>
          <w:tcPr>
            <w:tcW w:type="dxa" w:w="4320"/>
            <w:shd w:fill="FFFFFF"/>
          </w:tcPr>
          <w:p>
            <w:pPr>
              <w:spacing w:after="0"/>
            </w:pPr>
            <w:r/>
            <w:hyperlink r:id="rId23">
              <w:r>
                <w:rPr>
                  <w:color w:val="2E74B5"/>
                  <w:u w:val="single"/>
                </w:rPr>
                <w:t>DANE — municipal population projections</w:t>
              </w:r>
            </w:hyperlink>
          </w:p>
          <w:p>
            <w:pPr>
              <w:spacing w:after="0"/>
            </w:pPr>
            <w:hyperlink r:id="rId24">
              <w:r>
                <w:rPr>
                  <w:color w:val="2E74B5"/>
                  <w:u w:val="single"/>
                </w:rPr>
                <w:t>DANE — CNPV 2018</w:t>
              </w:r>
            </w:hyperlink>
          </w:p>
        </w:tc>
        <w:tc>
          <w:tcPr>
            <w:tcW w:type="dxa" w:w="388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Exact supplied file: Youth population in Colombia.xlsx.</w:t>
            </w:r>
          </w:p>
        </w:tc>
      </w:tr>
      <w:tr>
        <w:trPr>
          <w:cantSplit/>
        </w:trPr>
        <w:tc>
          <w:tcPr>
            <w:tcW w:type="dxa" w:w="2232"/>
            <w:vAlign w:val="top"/>
            <w:tcMar>
              <w:top w:w="70" w:type="dxa"/>
              <w:start w:w="95" w:type="dxa"/>
              <w:bottom w:w="70" w:type="dxa"/>
              <w:end w:w="95" w:type="dxa"/>
            </w:tcMar>
            <w:shd w:fill="F4F6F8"/>
          </w:tcPr>
          <w:p>
            <w:pPr>
              <w:spacing w:after="0" w:line="240" w:lineRule="auto"/>
            </w:pPr>
            <w:r/>
            <w:r>
              <w:rPr>
                <w:rFonts w:ascii="Calibri" w:hAnsi="Calibri"/>
                <w:b/>
                <w:color w:val="16324F"/>
                <w:sz w:val="14"/>
              </w:rPr>
              <w:t>PNIS</w:t>
            </w:r>
          </w:p>
        </w:tc>
        <w:tc>
          <w:tcPr>
            <w:tcW w:type="dxa" w:w="352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UNODC Colombia</w:t>
            </w:r>
          </w:p>
        </w:tc>
        <w:tc>
          <w:tcPr>
            <w:tcW w:type="dxa" w:w="4320"/>
            <w:shd w:fill="F4F6F8"/>
          </w:tcPr>
          <w:p>
            <w:pPr>
              <w:spacing w:after="0"/>
            </w:pPr>
            <w:r/>
            <w:hyperlink r:id="rId25">
              <w:r>
                <w:rPr>
                  <w:color w:val="2E74B5"/>
                  <w:u w:val="single"/>
                </w:rPr>
                <w:t>UNODC Colombia — PNIS publications</w:t>
              </w:r>
            </w:hyperlink>
          </w:p>
        </w:tc>
        <w:tc>
          <w:tcPr>
            <w:tcW w:type="dxa" w:w="388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Public PNIS publication archive.</w:t>
            </w:r>
          </w:p>
        </w:tc>
      </w:tr>
      <w:tr>
        <w:trPr>
          <w:cantSplit/>
        </w:trPr>
        <w:tc>
          <w:tcPr>
            <w:tcW w:type="dxa" w:w="2232"/>
            <w:vAlign w:val="top"/>
            <w:tcMar>
              <w:top w:w="70" w:type="dxa"/>
              <w:start w:w="95" w:type="dxa"/>
              <w:bottom w:w="70" w:type="dxa"/>
              <w:end w:w="95" w:type="dxa"/>
            </w:tcMar>
            <w:shd w:fill="FFFFFF"/>
          </w:tcPr>
          <w:p>
            <w:pPr>
              <w:spacing w:after="0" w:line="240" w:lineRule="auto"/>
            </w:pPr>
            <w:r/>
            <w:r>
              <w:rPr>
                <w:rFonts w:ascii="Calibri" w:hAnsi="Calibri"/>
                <w:b/>
                <w:color w:val="16324F"/>
                <w:sz w:val="14"/>
              </w:rPr>
              <w:t>ETCR/NAR</w:t>
            </w:r>
          </w:p>
        </w:tc>
        <w:tc>
          <w:tcPr>
            <w:tcW w:type="dxa" w:w="352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ARN; Comunes/OCCO for legacy NAR coding</w:t>
            </w:r>
          </w:p>
        </w:tc>
        <w:tc>
          <w:tcPr>
            <w:tcW w:type="dxa" w:w="4320"/>
            <w:shd w:fill="FFFFFF"/>
          </w:tcPr>
          <w:p>
            <w:pPr>
              <w:spacing w:after="0"/>
            </w:pPr>
            <w:r/>
            <w:hyperlink r:id="rId26">
              <w:r>
                <w:rPr>
                  <w:color w:val="2E74B5"/>
                  <w:u w:val="single"/>
                </w:rPr>
                <w:t>Agencia para la Reincorporación y la Normalización</w:t>
              </w:r>
            </w:hyperlink>
          </w:p>
        </w:tc>
        <w:tc>
          <w:tcPr>
            <w:tcW w:type="dxa" w:w="388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Reference date should be recovered.</w:t>
            </w:r>
          </w:p>
        </w:tc>
      </w:tr>
      <w:tr>
        <w:trPr>
          <w:cantSplit/>
        </w:trPr>
        <w:tc>
          <w:tcPr>
            <w:tcW w:type="dxa" w:w="2232"/>
            <w:vAlign w:val="top"/>
            <w:tcMar>
              <w:top w:w="70" w:type="dxa"/>
              <w:start w:w="95" w:type="dxa"/>
              <w:bottom w:w="70" w:type="dxa"/>
              <w:end w:w="95" w:type="dxa"/>
            </w:tcMar>
            <w:shd w:fill="F4F6F8"/>
          </w:tcPr>
          <w:p>
            <w:pPr>
              <w:spacing w:after="0" w:line="240" w:lineRule="auto"/>
            </w:pPr>
            <w:r/>
            <w:r>
              <w:rPr>
                <w:rFonts w:ascii="Calibri" w:hAnsi="Calibri"/>
                <w:b/>
                <w:color w:val="16324F"/>
                <w:sz w:val="14"/>
              </w:rPr>
              <w:t>PDET</w:t>
            </w:r>
          </w:p>
        </w:tc>
        <w:tc>
          <w:tcPr>
            <w:tcW w:type="dxa" w:w="352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National government / Decree-Law 893 of 2017</w:t>
            </w:r>
          </w:p>
        </w:tc>
        <w:tc>
          <w:tcPr>
            <w:tcW w:type="dxa" w:w="4320"/>
            <w:shd w:fill="F4F6F8"/>
          </w:tcPr>
          <w:p>
            <w:pPr>
              <w:spacing w:after="0"/>
            </w:pPr>
            <w:r/>
            <w:hyperlink r:id="rId27">
              <w:r>
                <w:rPr>
                  <w:color w:val="2E74B5"/>
                  <w:u w:val="single"/>
                </w:rPr>
                <w:t>Decree-Law 893 of 2017 — PDET municipalities</w:t>
              </w:r>
            </w:hyperlink>
          </w:p>
        </w:tc>
        <w:tc>
          <w:tcPr>
            <w:tcW w:type="dxa" w:w="388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Official designation.</w:t>
            </w:r>
          </w:p>
        </w:tc>
      </w:tr>
      <w:tr>
        <w:trPr>
          <w:cantSplit/>
        </w:trPr>
        <w:tc>
          <w:tcPr>
            <w:tcW w:type="dxa" w:w="2232"/>
            <w:vAlign w:val="top"/>
            <w:tcMar>
              <w:top w:w="70" w:type="dxa"/>
              <w:start w:w="95" w:type="dxa"/>
              <w:bottom w:w="70" w:type="dxa"/>
              <w:end w:w="95" w:type="dxa"/>
            </w:tcMar>
            <w:shd w:fill="FFFFFF"/>
          </w:tcPr>
          <w:p>
            <w:pPr>
              <w:spacing w:after="0" w:line="240" w:lineRule="auto"/>
            </w:pPr>
            <w:r/>
            <w:r>
              <w:rPr>
                <w:rFonts w:ascii="Calibri" w:hAnsi="Calibri"/>
                <w:b/>
                <w:color w:val="16324F"/>
                <w:sz w:val="14"/>
              </w:rPr>
              <w:t>Armed-group presence</w:t>
            </w:r>
          </w:p>
        </w:tc>
        <w:tc>
          <w:tcPr>
            <w:tcW w:type="dxa" w:w="352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Indepaz; Pares; fieldwork</w:t>
            </w:r>
          </w:p>
        </w:tc>
        <w:tc>
          <w:tcPr>
            <w:tcW w:type="dxa" w:w="4320"/>
            <w:shd w:fill="FFFFFF"/>
          </w:tcPr>
          <w:p>
            <w:pPr>
              <w:spacing w:after="0"/>
            </w:pPr>
            <w:r/>
            <w:hyperlink r:id="rId28">
              <w:r>
                <w:rPr>
                  <w:color w:val="2E74B5"/>
                  <w:u w:val="single"/>
                </w:rPr>
                <w:t>Indepaz — armed-group presence reports</w:t>
              </w:r>
            </w:hyperlink>
          </w:p>
          <w:p>
            <w:pPr>
              <w:spacing w:after="0"/>
            </w:pPr>
            <w:hyperlink r:id="rId29">
              <w:r>
                <w:rPr>
                  <w:color w:val="2E74B5"/>
                  <w:u w:val="single"/>
                </w:rPr>
                <w:t>Fundación Paz &amp; Reconciliación (Pares)</w:t>
              </w:r>
            </w:hyperlink>
          </w:p>
        </w:tc>
        <w:tc>
          <w:tcPr>
            <w:tcW w:type="dxa" w:w="388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Exact coding period and reconciliation not retained in old key.</w:t>
            </w:r>
          </w:p>
        </w:tc>
      </w:tr>
      <w:tr>
        <w:trPr>
          <w:cantSplit/>
        </w:trPr>
        <w:tc>
          <w:tcPr>
            <w:tcW w:type="dxa" w:w="2232"/>
            <w:vAlign w:val="top"/>
            <w:tcMar>
              <w:top w:w="70" w:type="dxa"/>
              <w:start w:w="95" w:type="dxa"/>
              <w:bottom w:w="70" w:type="dxa"/>
              <w:end w:w="95" w:type="dxa"/>
            </w:tcMar>
            <w:shd w:fill="F4F6F8"/>
          </w:tcPr>
          <w:p>
            <w:pPr>
              <w:spacing w:after="0" w:line="240" w:lineRule="auto"/>
            </w:pPr>
            <w:r/>
            <w:r>
              <w:rPr>
                <w:rFonts w:ascii="Calibri" w:hAnsi="Calibri"/>
                <w:b/>
                <w:color w:val="16324F"/>
                <w:sz w:val="14"/>
              </w:rPr>
              <w:t>Coca cultivation</w:t>
            </w:r>
          </w:p>
        </w:tc>
        <w:tc>
          <w:tcPr>
            <w:tcW w:type="dxa" w:w="352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SIMCI open data</w:t>
            </w:r>
          </w:p>
        </w:tc>
        <w:tc>
          <w:tcPr>
            <w:tcW w:type="dxa" w:w="4320"/>
            <w:shd w:fill="F4F6F8"/>
          </w:tcPr>
          <w:p>
            <w:pPr>
              <w:spacing w:after="0"/>
            </w:pPr>
            <w:r/>
            <w:hyperlink r:id="rId30">
              <w:r>
                <w:rPr>
                  <w:color w:val="2E74B5"/>
                  <w:u w:val="single"/>
                </w:rPr>
                <w:t>SIMCI open data — detected coca cultivation</w:t>
              </w:r>
            </w:hyperlink>
          </w:p>
        </w:tc>
        <w:tc>
          <w:tcPr>
            <w:tcW w:type="dxa" w:w="388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Exact open dataset used for added annual hectares.</w:t>
            </w:r>
          </w:p>
        </w:tc>
      </w:tr>
      <w:tr>
        <w:trPr>
          <w:cantSplit/>
        </w:trPr>
        <w:tc>
          <w:tcPr>
            <w:tcW w:type="dxa" w:w="2232"/>
            <w:vAlign w:val="top"/>
            <w:tcMar>
              <w:top w:w="70" w:type="dxa"/>
              <w:start w:w="95" w:type="dxa"/>
              <w:bottom w:w="70" w:type="dxa"/>
              <w:end w:w="95" w:type="dxa"/>
            </w:tcMar>
            <w:shd w:fill="FFFFFF"/>
          </w:tcPr>
          <w:p>
            <w:pPr>
              <w:spacing w:after="0" w:line="240" w:lineRule="auto"/>
            </w:pPr>
            <w:r/>
            <w:r>
              <w:rPr>
                <w:rFonts w:ascii="Calibri" w:hAnsi="Calibri"/>
                <w:b/>
                <w:color w:val="16324F"/>
                <w:sz w:val="14"/>
              </w:rPr>
              <w:t>Municipal area</w:t>
            </w:r>
          </w:p>
        </w:tc>
        <w:tc>
          <w:tcPr>
            <w:tcW w:type="dxa" w:w="352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IGAC/Datos.gov boundary data</w:t>
            </w:r>
          </w:p>
        </w:tc>
        <w:tc>
          <w:tcPr>
            <w:tcW w:type="dxa" w:w="4320"/>
            <w:shd w:fill="FFFFFF"/>
          </w:tcPr>
          <w:p>
            <w:pPr>
              <w:spacing w:after="0"/>
            </w:pPr>
            <w:r/>
            <w:hyperlink r:id="rId31">
              <w:r>
                <w:rPr>
                  <w:color w:val="2E74B5"/>
                  <w:u w:val="single"/>
                </w:rPr>
                <w:t>IGAC / Colombia en Mapas — municipal boundaries</w:t>
              </w:r>
            </w:hyperlink>
          </w:p>
        </w:tc>
        <w:tc>
          <w:tcPr>
            <w:tcW w:type="dxa" w:w="388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Exact downloaded dataset URL not retained.</w:t>
            </w:r>
          </w:p>
        </w:tc>
      </w:tr>
      <w:tr>
        <w:trPr>
          <w:cantSplit/>
        </w:trPr>
        <w:tc>
          <w:tcPr>
            <w:tcW w:type="dxa" w:w="2232"/>
            <w:vAlign w:val="top"/>
            <w:tcMar>
              <w:top w:w="70" w:type="dxa"/>
              <w:start w:w="95" w:type="dxa"/>
              <w:bottom w:w="70" w:type="dxa"/>
              <w:end w:w="95" w:type="dxa"/>
            </w:tcMar>
            <w:shd w:fill="F4F6F8"/>
          </w:tcPr>
          <w:p>
            <w:pPr>
              <w:spacing w:after="0" w:line="240" w:lineRule="auto"/>
            </w:pPr>
            <w:r/>
            <w:r>
              <w:rPr>
                <w:rFonts w:ascii="Calibri" w:hAnsi="Calibri"/>
                <w:b/>
                <w:color w:val="16324F"/>
                <w:sz w:val="14"/>
              </w:rPr>
              <w:t>Rural electricity</w:t>
            </w:r>
          </w:p>
        </w:tc>
        <w:tc>
          <w:tcPr>
            <w:tcW w:type="dxa" w:w="352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UPME ICEE</w:t>
            </w:r>
          </w:p>
        </w:tc>
        <w:tc>
          <w:tcPr>
            <w:tcW w:type="dxa" w:w="4320"/>
            <w:shd w:fill="F4F6F8"/>
          </w:tcPr>
          <w:p>
            <w:pPr>
              <w:spacing w:after="0"/>
            </w:pPr>
            <w:r/>
            <w:hyperlink r:id="rId32">
              <w:r>
                <w:rPr>
                  <w:color w:val="2E74B5"/>
                  <w:u w:val="single"/>
                </w:rPr>
                <w:t>UPME — electricity coverage (ICEE)</w:t>
              </w:r>
            </w:hyperlink>
          </w:p>
        </w:tc>
        <w:tc>
          <w:tcPr>
            <w:tcW w:type="dxa" w:w="388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2018 municipal rural coverage.</w:t>
            </w:r>
          </w:p>
        </w:tc>
      </w:tr>
      <w:tr>
        <w:trPr>
          <w:cantSplit/>
        </w:trPr>
        <w:tc>
          <w:tcPr>
            <w:tcW w:type="dxa" w:w="2232"/>
            <w:vAlign w:val="top"/>
            <w:tcMar>
              <w:top w:w="70" w:type="dxa"/>
              <w:start w:w="95" w:type="dxa"/>
              <w:bottom w:w="70" w:type="dxa"/>
              <w:end w:w="95" w:type="dxa"/>
            </w:tcMar>
            <w:shd w:fill="FFFFFF"/>
          </w:tcPr>
          <w:p>
            <w:pPr>
              <w:spacing w:after="0" w:line="240" w:lineRule="auto"/>
            </w:pPr>
            <w:r/>
            <w:r>
              <w:rPr>
                <w:rFonts w:ascii="Calibri" w:hAnsi="Calibri"/>
                <w:b/>
                <w:color w:val="16324F"/>
                <w:sz w:val="14"/>
              </w:rPr>
              <w:t>Early warnings</w:t>
            </w:r>
          </w:p>
        </w:tc>
        <w:tc>
          <w:tcPr>
            <w:tcW w:type="dxa" w:w="352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Defensoría del Pueblo</w:t>
            </w:r>
          </w:p>
        </w:tc>
        <w:tc>
          <w:tcPr>
            <w:tcW w:type="dxa" w:w="4320"/>
            <w:shd w:fill="FFFFFF"/>
          </w:tcPr>
          <w:p>
            <w:pPr>
              <w:spacing w:after="0"/>
            </w:pPr>
            <w:r/>
            <w:hyperlink r:id="rId33">
              <w:r>
                <w:rPr>
                  <w:color w:val="2E74B5"/>
                  <w:u w:val="single"/>
                </w:rPr>
                <w:t>Defensoría del Pueblo — Early Warning System</w:t>
              </w:r>
            </w:hyperlink>
          </w:p>
        </w:tc>
        <w:tc>
          <w:tcPr>
            <w:tcW w:type="dxa" w:w="3888"/>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Exact supplied files: Alertas tempranas 2017–2020.</w:t>
            </w:r>
          </w:p>
        </w:tc>
      </w:tr>
      <w:tr>
        <w:trPr>
          <w:cantSplit/>
        </w:trPr>
        <w:tc>
          <w:tcPr>
            <w:tcW w:type="dxa" w:w="2232"/>
            <w:vAlign w:val="top"/>
            <w:tcMar>
              <w:top w:w="70" w:type="dxa"/>
              <w:start w:w="95" w:type="dxa"/>
              <w:bottom w:w="70" w:type="dxa"/>
              <w:end w:w="95" w:type="dxa"/>
            </w:tcMar>
            <w:shd w:fill="F4F6F8"/>
          </w:tcPr>
          <w:p>
            <w:pPr>
              <w:spacing w:after="0" w:line="240" w:lineRule="auto"/>
            </w:pPr>
            <w:r/>
            <w:r>
              <w:rPr>
                <w:rFonts w:ascii="Calibri" w:hAnsi="Calibri"/>
                <w:b/>
                <w:color w:val="16324F"/>
                <w:sz w:val="14"/>
              </w:rPr>
              <w:t>Disengagements</w:t>
            </w:r>
          </w:p>
        </w:tc>
        <w:tc>
          <w:tcPr>
            <w:tcW w:type="dxa" w:w="352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ICBF</w:t>
            </w:r>
          </w:p>
        </w:tc>
        <w:tc>
          <w:tcPr>
            <w:tcW w:type="dxa" w:w="4320"/>
            <w:shd w:fill="F4F6F8"/>
          </w:tcPr>
          <w:p>
            <w:pPr>
              <w:spacing w:after="0"/>
            </w:pPr>
            <w:r/>
            <w:hyperlink r:id="rId34">
              <w:r>
                <w:rPr>
                  <w:color w:val="2E74B5"/>
                  <w:u w:val="single"/>
                </w:rPr>
                <w:t>ICBF — desvinculados public dashboard</w:t>
              </w:r>
            </w:hyperlink>
          </w:p>
        </w:tc>
        <w:tc>
          <w:tcPr>
            <w:tcW w:type="dxa" w:w="3888"/>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Exact supplied file: ICBF Desvinculaciones.pdf.</w:t>
            </w:r>
          </w:p>
        </w:tc>
      </w:tr>
    </w:tbl>
    <w:p>
      <w:pPr>
        <w:pStyle w:val="Heading1"/>
      </w:pPr>
      <w:r>
        <w:t>7. Complete variable dictionary</w:t>
      </w:r>
    </w:p>
    <w:p>
      <w:pPr>
        <w:spacing w:after="0" w:line="252" w:lineRule="auto"/>
      </w:pPr>
      <w:r>
        <w:rPr>
          <w:rFonts w:ascii="Calibri" w:hAnsi="Calibri"/>
          <w:b w:val="0"/>
          <w:i w:val="0"/>
          <w:color w:val="243447"/>
          <w:sz w:val="17"/>
        </w:rPr>
        <w:t>Every workbook header is listed below exactly once. Variables with the same definition but different years are grouped in one row; all exact header names are still shown.</w:t>
      </w:r>
    </w:p>
    <w:p>
      <w:pPr>
        <w:pStyle w:val="Heading2"/>
      </w:pPr>
      <w:r>
        <w:t>Identifiers and matching</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No</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Legacy row identifier retained from the supplied universe.</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Identifier • original universe</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Not a geographic key. Sorting changes its position; use MunicipalCode for joins.</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Country</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Country name. All records are Colombia.</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Text • constant</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No analytical variation.</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Department</w:t>
              <w:br/>
              <w:t>Municipality</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Department and municipality/territorial-unit names recorded in the original universe.</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Text • municipality-level geography</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Names can repeat across departments and spelling/accents vary. Never join on Municipality alone.</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MunicipalCode</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Five-digit DIVIPOLA-style code added for joining municipal sources.</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Identifier • current workbook</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Keep leading zeroes. Some Amazon/Orinoquía records are non-municipalized areas rather than ordinary municipalities.</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PovertyMatchStatus</w:t>
              <w:br/>
              <w:t>PopulationMatchStatus</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Audit fields stating how the 2018 poverty and 2018–2020 population sources matched to the universe.</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Text • quality control</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 successful name match is not proof that every source value is substantively comparable.</w:t>
            </w:r>
          </w:p>
        </w:tc>
      </w:tr>
    </w:tbl>
    <w:p>
      <w:pPr>
        <w:spacing w:after="20"/>
      </w:pPr>
    </w:p>
    <w:p>
      <w:pPr>
        <w:pStyle w:val="Heading2"/>
      </w:pPr>
      <w:r>
        <w:t>Reported recruitment outcome</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TotalRecruitment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Total reported recruitment cases during 2017–2020.</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Cases • 2017–2020</w:t>
            </w:r>
          </w:p>
          <w:p>
            <w:pPr>
              <w:spacing w:after="0" w:line="240" w:lineRule="auto"/>
            </w:pPr>
            <w:hyperlink r:id="rId11">
              <w:r>
                <w:rPr>
                  <w:color w:val="2E74B5"/>
                  <w:u w:val="single"/>
                </w:rPr>
                <w:t>Unidad para las Víctimas — Datos Paz</w:t>
              </w:r>
            </w:hyperlink>
          </w:p>
          <w:p>
            <w:pPr>
              <w:spacing w:after="0" w:line="240" w:lineRule="auto"/>
            </w:pPr>
            <w:hyperlink r:id="rId12">
              <w:r>
                <w:rPr>
                  <w:color w:val="2E74B5"/>
                  <w:u w:val="single"/>
                </w:rPr>
                <w:t>COALICO — publications and ONCA monitoring</w:t>
              </w:r>
            </w:hyperlink>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Reported cases are not the full hidden population. Source reconciliation is not fully documented in the old key.</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AverageRecruitment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Arithmetic annual mean: TotalRecruitment divided by four years.</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Cases per year • 2017–2020</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 four-year mean conceals annual peaks and changes.</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RecruitmentYesNo</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Legacy binary indicator intended to equal 1 when recruitment is reported and 0 otherwise.</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Binary 0/1 • 2017–2020</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Seven yellow records contradict TotalRecruitment. Recalculate from TotalRecruitment before analysis.</w:t>
            </w:r>
          </w:p>
        </w:tc>
      </w:tr>
    </w:tbl>
    <w:p>
      <w:pPr>
        <w:spacing w:after="20"/>
      </w:pPr>
    </w:p>
    <w:p>
      <w:pPr>
        <w:pStyle w:val="Heading2"/>
      </w:pPr>
      <w:r>
        <w:t>Recruitment denominators and rates</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PopulationAge0_19_2018</w:t>
              <w:br/>
              <w:t>PopulationAge0_19_2019</w:t>
              <w:br/>
              <w:t>PopulationAge0_19_2020</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Projected population aged 0–19, calculated by summing four five-year age bands.</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People • annual 2018–2020</w:t>
            </w:r>
          </w:p>
          <w:p>
            <w:pPr>
              <w:spacing w:after="0" w:line="240" w:lineRule="auto"/>
            </w:pPr>
            <w:hyperlink r:id="rId23">
              <w:r>
                <w:rPr>
                  <w:color w:val="2E74B5"/>
                  <w:u w:val="single"/>
                </w:rPr>
                <w:t>DANE — municipal population projections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The legal child population is under 18; this denominator includes ages 18–19 and has no supplied 2017 value.</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MeanPopulationAge0_19_2018_2020</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Arithmetic mean of the three municipal 0–19 population estimates.</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People • mean 2018–2020</w:t>
            </w:r>
          </w:p>
          <w:p>
            <w:pPr>
              <w:spacing w:after="0" w:line="240" w:lineRule="auto"/>
            </w:pPr>
            <w:hyperlink r:id="rId23">
              <w:r>
                <w:rPr>
                  <w:color w:val="2E74B5"/>
                  <w:u w:val="single"/>
                </w:rPr>
                <w:t>DANE — municipal population projections</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Used as an approximation for the four-year recruitment period.</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CumulativeRecruitmentPer10000Age0_19_2017_2020</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TotalRecruitment divided by the mean 0–19 population, multiplied by 10,000.</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Cases per 10,000 • cumulative 2017–2020</w:t>
            </w:r>
          </w:p>
          <w:p>
            <w:pPr>
              <w:spacing w:after="0" w:line="240" w:lineRule="auto"/>
            </w:pPr>
            <w:r>
              <w:rPr>
                <w:rFonts w:ascii="Calibri" w:hAnsi="Calibri"/>
                <w:i/>
                <w:color w:val="6B7280"/>
                <w:sz w:val="14"/>
              </w:rPr>
              <w:t>Supplied universe workbook</w:t>
            </w:r>
          </w:p>
          <w:p>
            <w:pPr>
              <w:spacing w:after="0" w:line="240" w:lineRule="auto"/>
            </w:pPr>
            <w:hyperlink r:id="rId23">
              <w:r>
                <w:rPr>
                  <w:color w:val="2E74B5"/>
                  <w:u w:val="single"/>
                </w:rPr>
                <w:t>DANE — municipal population projections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Not an annual rate and not an exact under-18 rate. Blank where population is unavailable.</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AverageAnnualRecruitmentPer10000Age0_19_2017_2020</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TotalRecruitment divided by four, divided by the mean 0–19 population, multiplied by 10,000.</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Cases per 10,000 per year • 2017–2020</w:t>
            </w:r>
          </w:p>
          <w:p>
            <w:pPr>
              <w:spacing w:after="0" w:line="240" w:lineRule="auto"/>
            </w:pPr>
            <w:r>
              <w:rPr>
                <w:rFonts w:ascii="Calibri" w:hAnsi="Calibri"/>
                <w:i/>
                <w:color w:val="6B7280"/>
                <w:sz w:val="14"/>
              </w:rPr>
              <w:t>Supplied universe workbook</w:t>
            </w:r>
          </w:p>
          <w:p>
            <w:pPr>
              <w:spacing w:after="0" w:line="240" w:lineRule="auto"/>
            </w:pPr>
            <w:hyperlink r:id="rId23">
              <w:r>
                <w:rPr>
                  <w:color w:val="2E74B5"/>
                  <w:u w:val="single"/>
                </w:rPr>
                <w:t>DANE — municipal population projections</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Useful for comparison, but the denominator is approximate and the numerator is affected by under-reporting.</w:t>
            </w:r>
          </w:p>
        </w:tc>
      </w:tr>
    </w:tbl>
    <w:p>
      <w:pPr>
        <w:spacing w:after="20"/>
      </w:pPr>
    </w:p>
    <w:p>
      <w:pPr>
        <w:pStyle w:val="Heading2"/>
      </w:pPr>
      <w:r>
        <w:t>Post-agreement violence</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TotalExFARCMurders</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Former FARC members/signatories reported murdered during 2017–2020.</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Deaths • 2017–2020</w:t>
            </w:r>
          </w:p>
          <w:p>
            <w:pPr>
              <w:spacing w:after="0" w:line="240" w:lineRule="auto"/>
            </w:pPr>
            <w:hyperlink r:id="rId13">
              <w:r>
                <w:rPr>
                  <w:color w:val="2E74B5"/>
                  <w:u w:val="single"/>
                </w:rPr>
                <w:t>Indepaz — murdered peace signatories viewer</w:t>
              </w:r>
            </w:hyperlink>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The old key records a Comunes/press/OCCO compilation; the exact extraction file and reconciliation rules are not attached.</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AverageExFARCMurders</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Annual mean of TotalExFARCMurders over four years.</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Deaths per year • 2017–2020</w:t>
            </w:r>
          </w:p>
          <w:p>
            <w:pPr>
              <w:spacing w:after="0" w:line="240" w:lineRule="auto"/>
            </w:pPr>
            <w:hyperlink r:id="rId13">
              <w:r>
                <w:rPr>
                  <w:color w:val="2E74B5"/>
                  <w:u w:val="single"/>
                </w:rPr>
                <w:t>Indepaz — murdered peace signatories viewer</w:t>
              </w:r>
            </w:hyperlink>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Small counts and a four-year mean can obscure timing.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ExFARCMurdersYesNo</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Equals 1 when at least one former FARC member/signatory murder is recorded; otherwise 0.</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Binary 0/1 • 2017–2020</w:t>
            </w:r>
          </w:p>
          <w:p>
            <w:pPr>
              <w:spacing w:after="0" w:line="240" w:lineRule="auto"/>
            </w:pPr>
            <w:hyperlink r:id="rId13">
              <w:r>
                <w:rPr>
                  <w:color w:val="2E74B5"/>
                  <w:u w:val="single"/>
                </w:rPr>
                <w:t>Indepaz — murdered peace signatories viewer</w:t>
              </w:r>
            </w:hyperlink>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Presence/absence discards the number and timing of killings.</w:t>
            </w:r>
          </w:p>
        </w:tc>
      </w:tr>
    </w:tbl>
    <w:p>
      <w:pPr>
        <w:spacing w:after="20"/>
      </w:pPr>
    </w:p>
    <w:p>
      <w:pPr>
        <w:pStyle w:val="Heading2"/>
      </w:pPr>
      <w:r>
        <w:t>Legacy conflict and social context</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AverageDisplacement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Average annual number of displaced persons attributed to the municipality.</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People per year • 2017–2020</w:t>
            </w:r>
          </w:p>
          <w:p>
            <w:pPr>
              <w:spacing w:after="0" w:line="240" w:lineRule="auto"/>
            </w:pPr>
            <w:hyperlink r:id="rId11">
              <w:r>
                <w:rPr>
                  <w:color w:val="2E74B5"/>
                  <w:u w:val="single"/>
                </w:rPr>
                <w:t>Unidad para las Víctimas — Datos Paz</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Clarify whether geography is occurrence, expulsion or reception before causal interpretation.</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AverageSocialLeaderMurders</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Average annual murders of social leaders/defenders.</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Deaths per year • 2017–2020</w:t>
            </w:r>
          </w:p>
          <w:p>
            <w:pPr>
              <w:spacing w:after="0" w:line="240" w:lineRule="auto"/>
            </w:pPr>
            <w:hyperlink r:id="rId14">
              <w:r>
                <w:rPr>
                  <w:color w:val="2E74B5"/>
                  <w:u w:val="single"/>
                </w:rPr>
                <w:t>Programa Somos Defensores — annual reports</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Definitions and verification rules vary by monitoring organization.</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AveragePressFreedomViolations</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Average annual press-freedom violations.</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Events per year • 2017–2020</w:t>
            </w:r>
          </w:p>
          <w:p>
            <w:pPr>
              <w:spacing w:after="0" w:line="240" w:lineRule="auto"/>
            </w:pPr>
            <w:hyperlink r:id="rId15">
              <w:r>
                <w:rPr>
                  <w:color w:val="2E74B5"/>
                  <w:u w:val="single"/>
                </w:rPr>
                <w:t>FLIP — press-freedom monitoring</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Rare events and reporting access vary greatly between municipalities.</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AverageMassacres</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Average annual number of massacres recorded in the legacy universe.</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Events per year • 2017–2020 label</w:t>
            </w:r>
          </w:p>
          <w:p>
            <w:pPr>
              <w:spacing w:after="0" w:line="240" w:lineRule="auto"/>
            </w:pPr>
            <w:hyperlink r:id="rId16">
              <w:r>
                <w:rPr>
                  <w:color w:val="2E74B5"/>
                  <w:u w:val="single"/>
                </w:rPr>
                <w:t>Indepaz — massacres series</w:t>
              </w:r>
            </w:hyperlink>
          </w:p>
          <w:p>
            <w:pPr>
              <w:spacing w:after="0" w:line="240" w:lineRule="auto"/>
            </w:pPr>
            <w:hyperlink r:id="rId17">
              <w:r>
                <w:rPr>
                  <w:color w:val="2E74B5"/>
                  <w:u w:val="single"/>
                </w:rPr>
                <w:t>Rutas del Conflicto — massacres map</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The old key states that 2019 is missing. Confirm the denominator used to calculate the average.</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AverageExtortion</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Average annual recorded extortion cases.</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Cases per year • 2017–2020</w:t>
            </w:r>
          </w:p>
          <w:p>
            <w:pPr>
              <w:spacing w:after="0" w:line="240" w:lineRule="auto"/>
            </w:pPr>
            <w:hyperlink r:id="rId18">
              <w:r>
                <w:rPr>
                  <w:color w:val="2E74B5"/>
                  <w:u w:val="single"/>
                </w:rPr>
                <w:t>Policía Nacional — historical crime statistics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Police records reflect reporting and enforcement, not all extortion.</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AverageTerrorism</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Average annual recorded terrorism incidents.</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Cases per year • 2017–2020</w:t>
            </w:r>
          </w:p>
          <w:p>
            <w:pPr>
              <w:spacing w:after="0" w:line="240" w:lineRule="auto"/>
            </w:pPr>
            <w:hyperlink r:id="rId18">
              <w:r>
                <w:rPr>
                  <w:color w:val="2E74B5"/>
                  <w:u w:val="single"/>
                </w:rPr>
                <w:t>Policía Nacional — historical crime statistics</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Legal/administrative classification may not map neatly onto conflict-event concepts.</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AverageKidnapping</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Average annual recorded kidnapping cases.</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Cases per year • 2017–2020</w:t>
            </w:r>
          </w:p>
          <w:p>
            <w:pPr>
              <w:spacing w:after="0" w:line="240" w:lineRule="auto"/>
            </w:pPr>
            <w:hyperlink r:id="rId18">
              <w:r>
                <w:rPr>
                  <w:color w:val="2E74B5"/>
                  <w:u w:val="single"/>
                </w:rPr>
                <w:t>Policía Nacional — historical crime statistics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Small numbers and under-reporting can make municipal comparisons unstable.</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AverageTotalMurders</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Average annual recorded murders/homicides in the legacy universe.</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Deaths per year • 2017–2020</w:t>
            </w:r>
          </w:p>
          <w:p>
            <w:pPr>
              <w:spacing w:after="0" w:line="240" w:lineRule="auto"/>
            </w:pPr>
            <w:hyperlink r:id="rId18">
              <w:r>
                <w:rPr>
                  <w:color w:val="2E74B5"/>
                  <w:u w:val="single"/>
                </w:rPr>
                <w:t>Policía Nacional — historical crime statistics</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 raw count is strongly affected by population size. Prefer the added homicide rate for comparison.</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AverageSchoolDesertation</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Legacy average school-dropout rate.</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Percent • average 2017–2020</w:t>
            </w:r>
          </w:p>
          <w:p>
            <w:pPr>
              <w:spacing w:after="0" w:line="240" w:lineRule="auto"/>
            </w:pPr>
            <w:hyperlink r:id="rId20">
              <w:r>
                <w:rPr>
                  <w:color w:val="2E74B5"/>
                  <w:u w:val="single"/>
                </w:rPr>
                <w:t>Ministerio de Educación — municipal education statistics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The old key does not retain the exact indicator definition or annual observations; do not equate automatically with non-attendance.</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AverageUnemployment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Legacy average unemployment rate.</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Percent • average 2017–2020</w:t>
            </w:r>
          </w:p>
          <w:p>
            <w:pPr>
              <w:spacing w:after="0" w:line="240" w:lineRule="auto"/>
            </w:pPr>
            <w:hyperlink r:id="rId21">
              <w:r>
                <w:rPr>
                  <w:color w:val="2E74B5"/>
                  <w:u w:val="single"/>
                </w:rPr>
                <w:t>DANE — labour-market statistics</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The old key notes incomplete municipal coverage; municipal unemployment estimates may not be comparable or directly measured everywhere.</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AverageMarihuanaSeizures</w:t>
              <w:br/>
              <w:t>AverageCocainaSeizures</w:t>
              <w:br/>
              <w:t>AverageBasedeCocaSeizures</w:t>
              <w:br/>
              <w:t>AverageBasucoSeizures</w:t>
              <w:br/>
              <w:t>AverageHeroinSeizures</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Average annual quantities of drug seizures, by substance.</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Legacy key says kilograms • 2017–2020</w:t>
            </w:r>
          </w:p>
          <w:p>
            <w:pPr>
              <w:spacing w:after="0" w:line="240" w:lineRule="auto"/>
            </w:pPr>
            <w:hyperlink r:id="rId18">
              <w:r>
                <w:rPr>
                  <w:color w:val="2E74B5"/>
                  <w:u w:val="single"/>
                </w:rPr>
                <w:t>Policía Nacional — historical crime statistics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The recorded magnitudes make the old unit label questionable. Verify original units before interpreting quantities; seizures also reflect enforcement activity.</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AverageCocaProduction</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Legacy average hectares of coca cultivation.</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Hectares • average 2017–2020</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Old key attributes this to Policía Nacional. Prefer the new annual SIMCI variables with explicit provenance.</w:t>
            </w:r>
          </w:p>
        </w:tc>
      </w:tr>
    </w:tbl>
    <w:p>
      <w:pPr>
        <w:spacing w:after="20"/>
      </w:pPr>
    </w:p>
    <w:p>
      <w:pPr>
        <w:pStyle w:val="Heading2"/>
      </w:pPr>
      <w:r>
        <w:t>Territorial programmes</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PNISorNOT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Equals 1 when the municipality is coded as participating in PNIS; otherwise 0.</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Binary 0/1 • legacy period</w:t>
            </w:r>
          </w:p>
          <w:p>
            <w:pPr>
              <w:spacing w:after="0" w:line="240" w:lineRule="auto"/>
            </w:pPr>
            <w:hyperlink r:id="rId25">
              <w:r>
                <w:rPr>
                  <w:color w:val="2E74B5"/>
                  <w:u w:val="single"/>
                </w:rPr>
                <w:t>UNODC Colombia — PNIS publications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Participation may change over time and intensity is not measured.</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ETCRorNOT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Equals 1 when an ETCR is recorded in the municipality; otherwise 0.</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Binary 0/1 • legacy period</w:t>
            </w:r>
          </w:p>
          <w:p>
            <w:pPr>
              <w:spacing w:after="0" w:line="240" w:lineRule="auto"/>
            </w:pPr>
            <w:hyperlink r:id="rId26">
              <w:r>
                <w:rPr>
                  <w:color w:val="2E74B5"/>
                  <w:u w:val="single"/>
                </w:rPr>
                <w:t>Agencia para la Reincorporación y la Normalización</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ETCR locations and administrative status have changed; verify the reference date.</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NARorNOT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Equals 1 when a New Reincorporation Area is recorded; otherwise 0.</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Binary 0/1 • legacy period</w:t>
            </w:r>
          </w:p>
          <w:p>
            <w:pPr>
              <w:spacing w:after="0" w:line="240" w:lineRule="auto"/>
            </w:pPr>
            <w:hyperlink r:id="rId26">
              <w:r>
                <w:rPr>
                  <w:color w:val="2E74B5"/>
                  <w:u w:val="single"/>
                </w:rPr>
                <w:t>Agencia para la Reincorporación y la Normalización</w:t>
              </w:r>
            </w:hyperlink>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The old key cites Comunes/OCCO and does not attach a definitive public list or reference date.</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PDETorNOT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Equals 1 for a PDET municipality; otherwise 0.</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Binary 0/1 • designation from Decree 893/2017</w:t>
            </w:r>
          </w:p>
          <w:p>
            <w:pPr>
              <w:spacing w:after="0" w:line="240" w:lineRule="auto"/>
            </w:pPr>
            <w:hyperlink r:id="rId27">
              <w:r>
                <w:rPr>
                  <w:color w:val="2E74B5"/>
                  <w:u w:val="single"/>
                </w:rPr>
                <w:t>Decree-Law 893 of 2017 — PDET municipalities</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PDET status is a policy classification, not a direct measure of poverty or conflict.</w:t>
            </w:r>
          </w:p>
        </w:tc>
      </w:tr>
    </w:tbl>
    <w:p>
      <w:pPr>
        <w:spacing w:after="20"/>
      </w:pPr>
    </w:p>
    <w:p>
      <w:pPr>
        <w:pStyle w:val="Heading2"/>
      </w:pPr>
      <w:r>
        <w:t>Legacy armed-group presence</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ParamilitarySuccessorGroupPresence</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At least one paramilitary-successor group recorded as present.</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Binary 0/1 • legacy period</w:t>
            </w:r>
          </w:p>
          <w:p>
            <w:pPr>
              <w:spacing w:after="0" w:line="240" w:lineRule="auto"/>
            </w:pPr>
            <w:hyperlink r:id="rId28">
              <w:r>
                <w:rPr>
                  <w:color w:val="2E74B5"/>
                  <w:u w:val="single"/>
                </w:rPr>
                <w:t>Indepaz — armed-group presence reports</w:t>
              </w:r>
            </w:hyperlink>
          </w:p>
          <w:p>
            <w:pPr>
              <w:spacing w:after="0" w:line="240" w:lineRule="auto"/>
            </w:pPr>
            <w:hyperlink r:id="rId29">
              <w:r>
                <w:rPr>
                  <w:color w:val="2E74B5"/>
                  <w:u w:val="single"/>
                </w:rPr>
                <w:t>Fundación Paz &amp; Reconciliación (Pares)</w:t>
              </w:r>
            </w:hyperlink>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Presence is compiled from monitoring/fieldwork; period, intensity and within-municipality reach are not explicit.</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DissidentFARCResiduales</w:t>
              <w:br/>
              <w:t xml:space="preserve">DissidentFARCRearmed </w:t>
              <w:br/>
              <w:t>DissidentFARCPresence</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Source classifications for residual and rearmed FARC dissident presence, plus their combined presence flag.</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Binary 0/1 • legacy period</w:t>
            </w:r>
          </w:p>
          <w:p>
            <w:pPr>
              <w:spacing w:after="0" w:line="240" w:lineRule="auto"/>
            </w:pPr>
            <w:hyperlink r:id="rId28">
              <w:r>
                <w:rPr>
                  <w:color w:val="2E74B5"/>
                  <w:u w:val="single"/>
                </w:rPr>
                <w:t>Indepaz — armed-group presence reports</w:t>
              </w:r>
            </w:hyperlink>
          </w:p>
          <w:p>
            <w:pPr>
              <w:spacing w:after="0" w:line="240" w:lineRule="auto"/>
            </w:pPr>
            <w:hyperlink r:id="rId29">
              <w:r>
                <w:rPr>
                  <w:color w:val="2E74B5"/>
                  <w:u w:val="single"/>
                </w:rPr>
                <w:t>Fundación Paz &amp; Reconciliación (Pares)</w:t>
              </w:r>
            </w:hyperlink>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The conceptual distinction and coding rule between residual and rearmed factions are not fully documented in the old key.</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ELNPresence</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ELN recorded as present.</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Binary 0/1 • legacy period</w:t>
            </w:r>
          </w:p>
          <w:p>
            <w:pPr>
              <w:spacing w:after="0" w:line="240" w:lineRule="auto"/>
            </w:pPr>
            <w:hyperlink r:id="rId28">
              <w:r>
                <w:rPr>
                  <w:color w:val="2E74B5"/>
                  <w:u w:val="single"/>
                </w:rPr>
                <w:t>Indepaz — armed-group presence reports</w:t>
              </w:r>
            </w:hyperlink>
          </w:p>
          <w:p>
            <w:pPr>
              <w:spacing w:after="0" w:line="240" w:lineRule="auto"/>
            </w:pPr>
            <w:hyperlink r:id="rId29">
              <w:r>
                <w:rPr>
                  <w:color w:val="2E74B5"/>
                  <w:u w:val="single"/>
                </w:rPr>
                <w:t>Fundación Paz &amp; Reconciliación (Pares)</w:t>
              </w:r>
            </w:hyperlink>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Presence does not measure strength, territorial control or clashes.</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CombinedArmedGroupPresence</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Legacy category: 0 none; 1 dissident FARC only; 2 ELN only; 3 paramilitary-successor only; 4 dissident FARC + ELN; 5 dissident FARC + paramilitary-successor; 6 paramilitary-successor + ELN; 7 all three.</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Category 0–7 • legacy period</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This is a nominal category, not a scale: 7 is not 'seven times' 1. It records co-presence, not rivalry.</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onlyDisidentFARCPresence</w:t>
              <w:br/>
              <w:t>onlyELNPresence</w:t>
              <w:br/>
              <w:t>onlyParamilitarySuccessorGroupPresence</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One-hot indicators for exactly one actor family present.</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Binary 0/1 • legacy period</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 zero may mean no actor or a different combination; interpret with all overlap fields.</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DisFARC+ELNPresence</w:t>
              <w:br/>
              <w:t>DisFARC+ParamilitarySucessorGroupPresence</w:t>
              <w:br/>
              <w:t>ParamilitarySuccessorGroup+ELNPresence</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One-hot indicators for each two-family combination.</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Binary 0/1 • legacy period</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Co-presence can indicate coexistence, territorial division or rivalry; it does not identify which.</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DISFARC+ParamilitarySuccessorGroup+ELNPresence</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Equals 1 when all three actor families are recorded as present.</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Binary 0/1 • legacy period</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Does not measure the intensity or timing of competition.</w:t>
            </w:r>
          </w:p>
        </w:tc>
      </w:tr>
    </w:tbl>
    <w:p>
      <w:pPr>
        <w:spacing w:after="20"/>
      </w:pPr>
    </w:p>
    <w:p>
      <w:pPr>
        <w:pStyle w:val="Heading2"/>
      </w:pPr>
      <w:r>
        <w:t>2018 structural vulnerability</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IPM2018TotalPct</w:t>
              <w:br/>
              <w:t>IPM2018UrbanPct</w:t>
              <w:br/>
              <w:t>IPM2018RuralPct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Population in multidimensional poverty in the total, urban-centre and rural/dispersed municipal domains.</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Percent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Static baseline; not measured annually. Rural/urban estimates should not be mixed with total without a clear question.</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IlliteracyPct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Households deprived on the illiteracy indicator.</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Household deprivation, not the percentage of individual residents who are illiterate.</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LowEducationalAchievementPct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Households deprived because of low educational achievement.</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Concept differs from dropout, non-attendance and repetition.</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EarlyChildhoodCareAccessBarriersPct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Households deprived because of barriers to early-childhood care services.</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 structural household indicator, not annual service-use data.</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HealthServiceAccessBarriersPct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Households deprived because of barriers to health-service access.</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Does not directly measure quality of care or individual health.</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EconomicDependencyPct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Households deprived on the economic-dependency indicator.</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Not the same as unemployment or income poverty.</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CriticalOvercrowdingPct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Households experiencing critical overcrowding.</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Static census-based measure; may correlate with other IPM components.</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InadequateExcretaDisposalPct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Households with inadequate excreta disposal.</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Highly related to rurality and infrastructure; avoid treating components as independent causes.</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SchoolNonAttendancePct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Households deprived because of school non-attendance.</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Not the same measure as AverageSchoolDesertation.</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InadequateExteriorWallMaterialPct</w:t>
              <w:br/>
              <w:t>InadequateFloorMaterialPct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Households with inadequate exterior-wall or floor materials.</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Housing components overlap with broader poverty and rurality.</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EducationalDelayPct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Households deprived because children are behind the expected school grade for age.</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Not equivalent to repetition or dropout.</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NoImprovedWaterSourcePct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Households without an improved water source.</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Static infrastructure proxy; do not infer annual change.</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NoHealthInsurancePct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Households deprived because members lack health insurance.</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Insurance status does not equal effective access to care.</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ChildLabourPct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Households deprived on the child-labour indicator.</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Likely under-reported and conceptually distinct from armed recruitment.</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InformalEmploymentPct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Households deprived on the informal-employment indicator.</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Percent of households • 2018</w:t>
            </w:r>
          </w:p>
          <w:p>
            <w:pPr>
              <w:spacing w:after="0" w:line="240" w:lineRule="auto"/>
            </w:pPr>
            <w:hyperlink r:id="rId22">
              <w:r>
                <w:rPr>
                  <w:color w:val="2E74B5"/>
                  <w:u w:val="single"/>
                </w:rPr>
                <w:t>DANE — 2018 municipal census-based multidimensional poverty</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Often high and strongly related to other poverty components; watch multicollinearity.</w:t>
            </w:r>
          </w:p>
        </w:tc>
      </w:tr>
    </w:tbl>
    <w:p>
      <w:pPr>
        <w:spacing w:after="20"/>
      </w:pPr>
    </w:p>
    <w:p>
      <w:pPr>
        <w:pStyle w:val="Heading2"/>
      </w:pPr>
      <w:r>
        <w:t>Population and ethnicity</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TotalPopulation2018</w:t>
              <w:br/>
              <w:t>TotalPopulation2019</w:t>
              <w:br/>
              <w:t>TotalPopulation2020</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Projected total municipal population, summed across all five-year age bands.</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People • annual 2018–2020</w:t>
            </w:r>
          </w:p>
          <w:p>
            <w:pPr>
              <w:spacing w:after="0" w:line="240" w:lineRule="auto"/>
            </w:pPr>
            <w:hyperlink r:id="rId23">
              <w:r>
                <w:rPr>
                  <w:color w:val="2E74B5"/>
                  <w:u w:val="single"/>
                </w:rPr>
                <w:t>DANE — municipal population projections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Twenty territorial units lack a complete supplied series.</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MeanTotalPopulation2018_2020</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Arithmetic mean of total population for 2018–2020.</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People • mean 2018–2020</w:t>
            </w:r>
          </w:p>
          <w:p>
            <w:pPr>
              <w:spacing w:after="0" w:line="240" w:lineRule="auto"/>
            </w:pPr>
            <w:hyperlink r:id="rId23">
              <w:r>
                <w:rPr>
                  <w:color w:val="2E74B5"/>
                  <w:u w:val="single"/>
                </w:rPr>
                <w:t>DANE — municipal population projections</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Summary denominator, not a risk score.</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IndigenousPopulation2018</w:t>
              <w:br/>
              <w:t>EthnicPopulationTotal2018</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Municipal Indigenous population and total population recorded as belonging to an ethnic group.</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People • 2018</w:t>
            </w:r>
          </w:p>
          <w:p>
            <w:pPr>
              <w:spacing w:after="0" w:line="240" w:lineRule="auto"/>
            </w:pPr>
            <w:hyperlink r:id="rId24">
              <w:r>
                <w:rPr>
                  <w:color w:val="2E74B5"/>
                  <w:u w:val="single"/>
                </w:rPr>
                <w:t>DANE — CNPV 2018</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Counts are affected by municipality size and depend on census self-identification/recording.</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PopulationInIndigenousReserves2018</w:t>
              <w:br/>
              <w:t>PopulationInIndigenousReservesPct2018</w:t>
              <w:br/>
              <w:t>IndigenousReservesCount2018</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Population of ethnic origin living in Indigenous reserves, the source-reported percentage, and number of reserves.</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People, percent, count • 2018</w:t>
            </w:r>
          </w:p>
          <w:p>
            <w:pPr>
              <w:spacing w:after="0" w:line="240" w:lineRule="auto"/>
            </w:pPr>
            <w:hyperlink r:id="rId24">
              <w:r>
                <w:rPr>
                  <w:color w:val="2E74B5"/>
                  <w:u w:val="single"/>
                </w:rPr>
                <w:t>DANE — CNPV 2018</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Structural context only; not a proxy for recruitment risk or Indigenous identity at individual level.</w:t>
            </w:r>
          </w:p>
        </w:tc>
      </w:tr>
    </w:tbl>
    <w:p>
      <w:pPr>
        <w:spacing w:after="20"/>
      </w:pPr>
    </w:p>
    <w:p>
      <w:pPr>
        <w:pStyle w:val="Heading2"/>
      </w:pPr>
      <w:r>
        <w:t>Homicide</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Homicides2017</w:t>
              <w:br/>
              <w:t>Homicides2018</w:t>
              <w:br/>
              <w:t>Homicides2019</w:t>
              <w:br/>
              <w:t>Homicides2020</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Recorded homicide counts in each municipality-year.</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Deaths • annual 2017–2020</w:t>
            </w:r>
          </w:p>
          <w:p>
            <w:pPr>
              <w:spacing w:after="0" w:line="240" w:lineRule="auto"/>
            </w:pPr>
            <w:hyperlink r:id="rId19">
              <w:r>
                <w:rPr>
                  <w:color w:val="2E74B5"/>
                  <w:u w:val="single"/>
                </w:rPr>
                <w:t>Policía Nacional open data — HOMICIDIO</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Counts rise mechanically with population and reflect administrative recording.</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HomicideRatePer100000_2018</w:t>
              <w:br/>
              <w:t>HomicideRatePer100000_2019</w:t>
              <w:br/>
              <w:t>HomicideRatePer100000_2020</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Annual homicides divided by same-year total population, multiplied by 100,000.</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Deaths per 100,000 • annual 2018–2020</w:t>
            </w:r>
          </w:p>
          <w:p>
            <w:pPr>
              <w:spacing w:after="0" w:line="240" w:lineRule="auto"/>
            </w:pPr>
            <w:hyperlink r:id="rId19">
              <w:r>
                <w:rPr>
                  <w:color w:val="2E74B5"/>
                  <w:u w:val="single"/>
                </w:rPr>
                <w:t>Policía Nacional open data — HOMICIDIO</w:t>
              </w:r>
            </w:hyperlink>
          </w:p>
          <w:p>
            <w:pPr>
              <w:spacing w:after="0" w:line="240" w:lineRule="auto"/>
            </w:pPr>
            <w:hyperlink r:id="rId23">
              <w:r>
                <w:rPr>
                  <w:color w:val="2E74B5"/>
                  <w:u w:val="single"/>
                </w:rPr>
                <w:t>DANE — municipal population projections</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No 2017 rate because the supplied population extract begins in 2018. Rates can be volatile in small populations.</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MeanHomicideRatePer100000_2018_2020</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Arithmetic mean of the three annual homicide rates.</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Deaths per 100,000 • mean 2018–2020</w:t>
            </w:r>
          </w:p>
          <w:p>
            <w:pPr>
              <w:spacing w:after="0" w:line="240" w:lineRule="auto"/>
            </w:pPr>
            <w:hyperlink r:id="rId19">
              <w:r>
                <w:rPr>
                  <w:color w:val="2E74B5"/>
                  <w:u w:val="single"/>
                </w:rPr>
                <w:t>Policía Nacional open data — HOMICIDIO</w:t>
              </w:r>
            </w:hyperlink>
          </w:p>
          <w:p>
            <w:pPr>
              <w:spacing w:after="0" w:line="240" w:lineRule="auto"/>
            </w:pPr>
            <w:hyperlink r:id="rId23">
              <w:r>
                <w:rPr>
                  <w:color w:val="2E74B5"/>
                  <w:u w:val="single"/>
                </w:rPr>
                <w:t>DANE — municipal population projections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Association with recruitment would not by itself establish causation.</w:t>
            </w:r>
          </w:p>
        </w:tc>
      </w:tr>
    </w:tbl>
    <w:p>
      <w:pPr>
        <w:spacing w:after="20"/>
      </w:pPr>
    </w:p>
    <w:p>
      <w:pPr>
        <w:pStyle w:val="Heading2"/>
      </w:pPr>
      <w:r>
        <w:t>Coca cultivation and territory</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MunicipalAreaKm2</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Official municipal territorial area used as the coca-share denominator.</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Square kilometres • boundary dataset</w:t>
            </w:r>
          </w:p>
          <w:p>
            <w:pPr>
              <w:spacing w:after="0" w:line="240" w:lineRule="auto"/>
            </w:pPr>
            <w:hyperlink r:id="rId31">
              <w:r>
                <w:rPr>
                  <w:color w:val="2E74B5"/>
                  <w:u w:val="single"/>
                </w:rPr>
                <w:t>IGAC / Colombia en Mapas — municipal boundaries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Mapiripana has no matched area; the exact downloaded boundary-dataset URL was not retained in the workbook.</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CocaHectares2017</w:t>
              <w:br/>
              <w:t>CocaHectares2018</w:t>
              <w:br/>
              <w:t>CocaHectares2019</w:t>
              <w:br/>
              <w:t>CocaHectares2020</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Detected hectares planted with coca.</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Hectares • annual 2017–2020</w:t>
            </w:r>
          </w:p>
          <w:p>
            <w:pPr>
              <w:spacing w:after="0" w:line="240" w:lineRule="auto"/>
            </w:pPr>
            <w:hyperlink r:id="rId30">
              <w:r>
                <w:rPr>
                  <w:color w:val="2E74B5"/>
                  <w:u w:val="single"/>
                </w:rPr>
                <w:t>SIMCI open data — detected coca cultivation</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Detection is an estimate, not a direct census. Zero means no hectares reported in the source.</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CocaCultivatedLandShare2017</w:t>
              <w:br/>
              <w:t>CocaCultivatedLandShare2018</w:t>
              <w:br/>
              <w:t>CocaCultivatedLandShare2019</w:t>
              <w:br/>
              <w:t>CocaCultivatedLandShare2020</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Coca hectares divided by total municipal hectares.</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Proportion displayed as % • annual 2017–2020</w:t>
            </w:r>
          </w:p>
          <w:p>
            <w:pPr>
              <w:spacing w:after="0" w:line="240" w:lineRule="auto"/>
            </w:pPr>
            <w:hyperlink r:id="rId30">
              <w:r>
                <w:rPr>
                  <w:color w:val="2E74B5"/>
                  <w:u w:val="single"/>
                </w:rPr>
                <w:t>SIMCI open data — detected coca cultivation</w:t>
              </w:r>
            </w:hyperlink>
          </w:p>
          <w:p>
            <w:pPr>
              <w:spacing w:after="0" w:line="240" w:lineRule="auto"/>
            </w:pPr>
            <w:hyperlink r:id="rId31">
              <w:r>
                <w:rPr>
                  <w:color w:val="2E74B5"/>
                  <w:u w:val="single"/>
                </w:rPr>
                <w:t>IGAC / Colombia en Mapas — municipal boundaries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Blank means no area denominator; zero means no reported coca. Municipal area includes land unsuitable for cultivation.</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MeanCocaCultivatedLandShare2017_2020</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Arithmetic mean of the four annual coca land shares.</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Percent • mean 2017–2020</w:t>
            </w:r>
          </w:p>
          <w:p>
            <w:pPr>
              <w:spacing w:after="0" w:line="240" w:lineRule="auto"/>
            </w:pPr>
            <w:hyperlink r:id="rId30">
              <w:r>
                <w:rPr>
                  <w:color w:val="2E74B5"/>
                  <w:u w:val="single"/>
                </w:rPr>
                <w:t>SIMCI open data — detected coca cultivation</w:t>
              </w:r>
            </w:hyperlink>
          </w:p>
          <w:p>
            <w:pPr>
              <w:spacing w:after="0" w:line="240" w:lineRule="auto"/>
            </w:pPr>
            <w:hyperlink r:id="rId31">
              <w:r>
                <w:rPr>
                  <w:color w:val="2E74B5"/>
                  <w:u w:val="single"/>
                </w:rPr>
                <w:t>IGAC / Colombia en Mapas — municipal boundaries</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 mean conceals expansion or contraction across years.</w:t>
            </w:r>
          </w:p>
        </w:tc>
      </w:tr>
    </w:tbl>
    <w:p>
      <w:pPr>
        <w:spacing w:after="20"/>
      </w:pPr>
    </w:p>
    <w:p>
      <w:pPr>
        <w:pStyle w:val="Heading2"/>
      </w:pPr>
      <w:r>
        <w:t>Armed-actor overlap</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ArmedActorFamiliesPresentCount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Count of three actor families recorded as present: FARC dissident, ELN and paramilitary-successor.</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Count 0–3 • legacy presence period</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Counts actor families, not organizations, fronts, fighters or conflict intensity.</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MultipleArmedActorFamiliesPresent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Equals 1 when two or more actor families are recorded as present.</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Binary 0/1 • legacy presence period</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 transparent co-presence proxy, not evidence of rivalry, competition or fighting.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ArmedActorOverlapType</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Text label for no actor, one family, each two-family combination, or all three families.</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Category • legacy presence period</w:t>
            </w:r>
          </w:p>
          <w:p>
            <w:pPr>
              <w:spacing w:after="0" w:line="240" w:lineRule="auto"/>
            </w:pPr>
            <w:r>
              <w:rPr>
                <w:rFonts w:ascii="Calibri" w:hAnsi="Calibri"/>
                <w:i/>
                <w:color w:val="6B7280"/>
                <w:sz w:val="14"/>
              </w:rPr>
              <w:t>Supplied universe workbook</w:t>
            </w:r>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Use categories descriptively; do not treat them as a numeric scale.</w:t>
            </w:r>
          </w:p>
        </w:tc>
      </w:tr>
    </w:tbl>
    <w:p>
      <w:pPr>
        <w:spacing w:after="20"/>
      </w:pPr>
    </w:p>
    <w:p>
      <w:pPr>
        <w:pStyle w:val="Heading2"/>
      </w:pPr>
      <w:r>
        <w:t>Education and services</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NetUpperSecondaryCoverage2017Pct</w:t>
              <w:br/>
              <w:t>NetUpperSecondaryCoverage2018Pct</w:t>
              <w:br/>
              <w:t>NetUpperSecondaryCoverage2019Pct</w:t>
              <w:br/>
              <w:t>NetUpperSecondaryCoverage2020Pct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Net coverage in upper-secondary education (educación media), as reported for each municipality-year.</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Percent • annual 2017–2020</w:t>
            </w:r>
          </w:p>
          <w:p>
            <w:pPr>
              <w:spacing w:after="0" w:line="240" w:lineRule="auto"/>
            </w:pPr>
            <w:hyperlink r:id="rId20">
              <w:r>
                <w:rPr>
                  <w:color w:val="2E74B5"/>
                  <w:u w:val="single"/>
                </w:rPr>
                <w:t>Ministerio de Educación — municipal education statistics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Fourteen official municipality-year values exceed 100; retained and flagged, not silently capped.</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MeanNetUpperSecondaryCoverage2017_2020Pct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Arithmetic mean of annual net upper-secondary coverage.</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Percent • mean 2017–2020</w:t>
            </w:r>
          </w:p>
          <w:p>
            <w:pPr>
              <w:spacing w:after="0" w:line="240" w:lineRule="auto"/>
            </w:pPr>
            <w:hyperlink r:id="rId20">
              <w:r>
                <w:rPr>
                  <w:color w:val="2E74B5"/>
                  <w:u w:val="single"/>
                </w:rPr>
                <w:t>Ministerio de Educación — municipal education statistics</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 mean can hide annual disruption, including the 2020 pandemic.</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OfficialRepetitionRate2017Pct</w:t>
              <w:br/>
              <w:t>OfficialRepetitionRate2018Pct</w:t>
              <w:br/>
              <w:t>OfficialRepetitionRate2019Pct</w:t>
              <w:br/>
              <w:t>OfficialRepetitionRate2020Pct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Official-sector repetition rate across basic and upper-secondary education.</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Percent • annual 2017–2020</w:t>
            </w:r>
          </w:p>
          <w:p>
            <w:pPr>
              <w:spacing w:after="0" w:line="240" w:lineRule="auto"/>
            </w:pPr>
            <w:hyperlink r:id="rId20">
              <w:r>
                <w:rPr>
                  <w:color w:val="2E74B5"/>
                  <w:u w:val="single"/>
                </w:rPr>
                <w:t>Ministerio de Educación — municipal education statistics</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Two municipalities lack 2019 values. Repetition is not the same as dropout or educational delay.</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MeanOfficialRepetitionRate2017_2020Pct</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Arithmetic mean of annual official-sector repetition rates.</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Percent • mean 2017–2020</w:t>
            </w:r>
          </w:p>
          <w:p>
            <w:pPr>
              <w:spacing w:after="0" w:line="240" w:lineRule="auto"/>
            </w:pPr>
            <w:hyperlink r:id="rId20">
              <w:r>
                <w:rPr>
                  <w:color w:val="2E74B5"/>
                  <w:u w:val="single"/>
                </w:rPr>
                <w:t>Ministerio de Educación — municipal education statistics</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Check how missing annual values affect the mean before analysis.</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RuralElectricityCoverage2018Pct</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UPME estimate of rural dwellings with electricity service.</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Percent • 2018</w:t>
            </w:r>
          </w:p>
          <w:p>
            <w:pPr>
              <w:spacing w:after="0" w:line="240" w:lineRule="auto"/>
            </w:pPr>
            <w:hyperlink r:id="rId32">
              <w:r>
                <w:rPr>
                  <w:color w:val="2E74B5"/>
                  <w:u w:val="single"/>
                </w:rPr>
                <w:t>UPME — electricity coverage (ICEE)</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Static baseline and infrastructure proxy; does not measure service reliability or affordability.</w:t>
            </w:r>
          </w:p>
        </w:tc>
      </w:tr>
    </w:tbl>
    <w:p>
      <w:pPr>
        <w:spacing w:after="20"/>
      </w:pPr>
    </w:p>
    <w:p>
      <w:pPr>
        <w:pStyle w:val="Heading2"/>
      </w:pPr>
      <w:r>
        <w:t>Early-warning evidence</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EarlyWarnings2017</w:t>
              <w:br/>
              <w:t>EarlyWarnings2018</w:t>
              <w:br/>
              <w:t>EarlyWarnings2019</w:t>
              <w:br/>
              <w:t>EarlyWarnings2020</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Count of recruitment/use-related early warnings explicitly covering the municipality.</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Warning records • annual 2017–2020</w:t>
            </w:r>
          </w:p>
          <w:p>
            <w:pPr>
              <w:spacing w:after="0" w:line="240" w:lineRule="auto"/>
            </w:pPr>
            <w:hyperlink r:id="rId33">
              <w:r>
                <w:rPr>
                  <w:color w:val="2E74B5"/>
                  <w:u w:val="single"/>
                </w:rPr>
                <w:t>Defensoría del Pueblo — Early Warning System</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Warnings are prospective/diagnostic evidence, not observed recruitment cases. One alert may cover several municipalities.</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EarlyWarnings2017_2020Total</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Sum of municipality-specific warning records across 2017–2020.</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Warning records • 2017–2020</w:t>
            </w:r>
          </w:p>
          <w:p>
            <w:pPr>
              <w:spacing w:after="0" w:line="240" w:lineRule="auto"/>
            </w:pPr>
            <w:hyperlink r:id="rId33">
              <w:r>
                <w:rPr>
                  <w:color w:val="2E74B5"/>
                  <w:u w:val="single"/>
                </w:rPr>
                <w:t>Defensoría del Pueblo — Early Warning System</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Counts documents/coverage, not children or incidents.</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EarlyWarningsAdvertida2018_2020</w:t>
              <w:br/>
              <w:t>EarlyWarningsIdentificada2018_2020</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Counts alerts in which recruitment/use was marked Advertida = Sí or Identificada = Sí.</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Warning records • 2018–2020</w:t>
            </w:r>
          </w:p>
          <w:p>
            <w:pPr>
              <w:spacing w:after="0" w:line="240" w:lineRule="auto"/>
            </w:pPr>
            <w:hyperlink r:id="rId33">
              <w:r>
                <w:rPr>
                  <w:color w:val="2E74B5"/>
                  <w:u w:val="single"/>
                </w:rPr>
                <w:t>Defensoría del Pueblo — Early Warning System</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These are source classifications; interpret their procedural meaning before comparing totals.</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EarlyWarningAny2017_2020</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Equals 1 when the municipality appears explicitly in at least one relevant early warning.</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Binary 0/1 • 2017–2020</w:t>
            </w:r>
          </w:p>
          <w:p>
            <w:pPr>
              <w:spacing w:after="0" w:line="240" w:lineRule="auto"/>
            </w:pPr>
            <w:hyperlink r:id="rId33">
              <w:r>
                <w:rPr>
                  <w:color w:val="2E74B5"/>
                  <w:u w:val="single"/>
                </w:rPr>
                <w:t>Defensoría del Pueblo — Early Warning System</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Discards the number, timing and content of alerts.</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DepartmentScopeEarlyWarnings2017</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Number of 2017 relevant warnings naming a department but no specific municipality, repeated as departmental context.</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Department-scope warning count • 2017</w:t>
            </w:r>
          </w:p>
          <w:p>
            <w:pPr>
              <w:spacing w:after="0" w:line="240" w:lineRule="auto"/>
            </w:pPr>
            <w:hyperlink r:id="rId33">
              <w:r>
                <w:rPr>
                  <w:color w:val="2E74B5"/>
                  <w:u w:val="single"/>
                </w:rPr>
                <w:t>Defensoría del Pueblo — Early Warning System</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Do not interpret as a municipality-specific warning; municipalities in the same department share the same value.</w:t>
            </w:r>
          </w:p>
        </w:tc>
      </w:tr>
    </w:tbl>
    <w:p>
      <w:pPr>
        <w:spacing w:after="20"/>
      </w:pPr>
    </w:p>
    <w:p>
      <w:pPr>
        <w:pStyle w:val="Heading2"/>
      </w:pPr>
      <w:r>
        <w:t>Disengagement process</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564"/>
        <w:gridCol w:w="3564"/>
        <w:gridCol w:w="3564"/>
        <w:gridCol w:w="3564"/>
      </w:tblGrid>
      <w:tr>
        <w:tc>
          <w:tcPr>
            <w:tcW w:type="dxa" w:w="3384"/>
            <w:vAlign w:val="top"/>
            <w:tcMar>
              <w:top w:w="70" w:type="dxa"/>
              <w:start w:w="95" w:type="dxa"/>
              <w:bottom w:w="70" w:type="dxa"/>
              <w:end w:w="95" w:type="dxa"/>
            </w:tcMar>
            <w:shd w:fill="0F766E"/>
          </w:tcPr>
          <w:p>
            <w:pPr>
              <w:spacing w:after="0" w:line="240" w:lineRule="auto"/>
            </w:pPr>
            <w:r/>
            <w:r>
              <w:rPr>
                <w:rFonts w:ascii="Calibri" w:hAnsi="Calibri"/>
                <w:b/>
                <w:color w:val="FFFFFF"/>
                <w:sz w:val="15"/>
              </w:rPr>
              <w:t>Variable(s) in workbook</w:t>
            </w:r>
          </w:p>
        </w:tc>
        <w:tc>
          <w:tcPr>
            <w:tcW w:type="dxa" w:w="4392"/>
            <w:vAlign w:val="top"/>
            <w:tcMar>
              <w:top w:w="70" w:type="dxa"/>
              <w:start w:w="95" w:type="dxa"/>
              <w:bottom w:w="70" w:type="dxa"/>
              <w:end w:w="95" w:type="dxa"/>
            </w:tcMar>
            <w:shd w:fill="0F766E"/>
          </w:tcPr>
          <w:p>
            <w:pPr>
              <w:spacing w:after="0" w:line="240" w:lineRule="auto"/>
            </w:pPr>
            <w:r/>
            <w:r>
              <w:rPr>
                <w:rFonts w:ascii="Calibri" w:hAnsi="Calibri"/>
                <w:b/>
                <w:color w:val="FFFFFF"/>
                <w:sz w:val="15"/>
              </w:rPr>
              <w:t>Definition and use</w:t>
            </w:r>
          </w:p>
        </w:tc>
        <w:tc>
          <w:tcPr>
            <w:tcW w:type="dxa" w:w="2951"/>
            <w:vAlign w:val="top"/>
            <w:tcMar>
              <w:top w:w="70" w:type="dxa"/>
              <w:start w:w="95" w:type="dxa"/>
              <w:bottom w:w="70" w:type="dxa"/>
              <w:end w:w="95" w:type="dxa"/>
            </w:tcMar>
            <w:shd w:fill="0F766E"/>
          </w:tcPr>
          <w:p>
            <w:pPr>
              <w:spacing w:after="0" w:line="240" w:lineRule="auto"/>
            </w:pPr>
            <w:r/>
            <w:r>
              <w:rPr>
                <w:rFonts w:ascii="Calibri" w:hAnsi="Calibri"/>
                <w:b/>
                <w:color w:val="FFFFFF"/>
                <w:sz w:val="15"/>
              </w:rPr>
              <w:t>Measure, years and source</w:t>
            </w:r>
          </w:p>
        </w:tc>
        <w:tc>
          <w:tcPr>
            <w:tcW w:type="dxa" w:w="3240"/>
            <w:vAlign w:val="top"/>
            <w:tcMar>
              <w:top w:w="70" w:type="dxa"/>
              <w:start w:w="95" w:type="dxa"/>
              <w:bottom w:w="70" w:type="dxa"/>
              <w:end w:w="95" w:type="dxa"/>
            </w:tcMar>
            <w:shd w:fill="0F766E"/>
          </w:tcPr>
          <w:p>
            <w:pPr>
              <w:spacing w:after="0" w:line="240" w:lineRule="auto"/>
            </w:pPr>
            <w:r/>
            <w:r>
              <w:rPr>
                <w:rFonts w:ascii="Calibri" w:hAnsi="Calibri"/>
                <w:b/>
                <w:color w:val="FFFFFF"/>
                <w:sz w:val="15"/>
              </w:rPr>
              <w:t>Potential issue / interpretation warning</w:t>
            </w:r>
          </w:p>
        </w:tc>
      </w:tr>
      <w:tr>
        <w:trPr>
          <w:cantSplit/>
        </w:trPr>
        <w:tc>
          <w:tcPr>
            <w:tcW w:type="dxa" w:w="3384"/>
            <w:vAlign w:val="top"/>
            <w:tcMar>
              <w:top w:w="70" w:type="dxa"/>
              <w:start w:w="95" w:type="dxa"/>
              <w:bottom w:w="70" w:type="dxa"/>
              <w:end w:w="95" w:type="dxa"/>
            </w:tcMar>
            <w:shd w:fill="FFFFFF"/>
          </w:tcPr>
          <w:p>
            <w:pPr>
              <w:spacing w:after="0" w:line="240" w:lineRule="auto"/>
            </w:pPr>
            <w:r/>
            <w:r>
              <w:rPr>
                <w:rFonts w:ascii="Calibri" w:hAnsi="Calibri"/>
                <w:b/>
                <w:color w:val="16324F"/>
                <w:sz w:val="14"/>
              </w:rPr>
              <w:t>Disengagements2016</w:t>
              <w:br/>
              <w:t>Disengagements2017</w:t>
              <w:br/>
              <w:t>Disengagements2018</w:t>
              <w:br/>
              <w:t>Disengagements2019</w:t>
              <w:br/>
              <w:t>Disengagements2020</w:t>
              <w:br/>
              <w:t>Disengagements2021</w:t>
            </w:r>
          </w:p>
        </w:tc>
        <w:tc>
          <w:tcPr>
            <w:tcW w:type="dxa" w:w="43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Children/adolescents recorded by ICBF at the municipality of disengagement in each year.</w:t>
            </w:r>
          </w:p>
        </w:tc>
        <w:tc>
          <w:tcPr>
            <w:tcW w:type="dxa" w:w="2951"/>
            <w:shd w:fill="FFFFFF"/>
            <w:vAlign w:val="top"/>
            <w:tcMar>
              <w:top w:w="70" w:type="dxa"/>
              <w:start w:w="95" w:type="dxa"/>
              <w:bottom w:w="70" w:type="dxa"/>
              <w:end w:w="95" w:type="dxa"/>
            </w:tcMar>
          </w:tcPr>
          <w:p>
            <w:pPr>
              <w:spacing w:after="0" w:line="240" w:lineRule="auto"/>
            </w:pPr>
            <w:r/>
            <w:r>
              <w:rPr>
                <w:rFonts w:ascii="Calibri" w:hAnsi="Calibri"/>
                <w:b/>
                <w:color w:val="243447"/>
                <w:sz w:val="14"/>
              </w:rPr>
              <w:t>Records • annual 2016–2021</w:t>
            </w:r>
          </w:p>
          <w:p>
            <w:pPr>
              <w:spacing w:after="0" w:line="240" w:lineRule="auto"/>
            </w:pPr>
            <w:hyperlink r:id="rId34">
              <w:r>
                <w:rPr>
                  <w:color w:val="2E74B5"/>
                  <w:u w:val="single"/>
                </w:rPr>
                <w:t>ICBF — desvinculados public dashboard</w:t>
              </w:r>
            </w:hyperlink>
          </w:p>
        </w:tc>
        <w:tc>
          <w:tcPr>
            <w:tcW w:type="dxa" w:w="3240"/>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Municipality of disengagement is not necessarily municipality of recruitment, residence or armed-group operation.</w:t>
            </w:r>
          </w:p>
        </w:tc>
      </w:tr>
      <w:tr>
        <w:trPr>
          <w:cantSplit/>
        </w:trPr>
        <w:tc>
          <w:tcPr>
            <w:tcW w:type="dxa" w:w="3384"/>
            <w:vAlign w:val="top"/>
            <w:tcMar>
              <w:top w:w="70" w:type="dxa"/>
              <w:start w:w="95" w:type="dxa"/>
              <w:bottom w:w="70" w:type="dxa"/>
              <w:end w:w="95" w:type="dxa"/>
            </w:tcMar>
            <w:shd w:fill="F7FAFC"/>
          </w:tcPr>
          <w:p>
            <w:pPr>
              <w:spacing w:after="0" w:line="240" w:lineRule="auto"/>
            </w:pPr>
            <w:r/>
            <w:r>
              <w:rPr>
                <w:rFonts w:ascii="Calibri" w:hAnsi="Calibri"/>
                <w:b/>
                <w:color w:val="16324F"/>
                <w:sz w:val="14"/>
              </w:rPr>
              <w:t>Disengagements2017_2020Total</w:t>
            </w:r>
          </w:p>
        </w:tc>
        <w:tc>
          <w:tcPr>
            <w:tcW w:type="dxa" w:w="4392"/>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Sum of disengagement records during the recruitment study period.</w:t>
            </w:r>
          </w:p>
        </w:tc>
        <w:tc>
          <w:tcPr>
            <w:tcW w:type="dxa" w:w="2951"/>
            <w:shd w:fill="F7FAFC"/>
            <w:vAlign w:val="top"/>
            <w:tcMar>
              <w:top w:w="70" w:type="dxa"/>
              <w:start w:w="95" w:type="dxa"/>
              <w:bottom w:w="70" w:type="dxa"/>
              <w:end w:w="95" w:type="dxa"/>
            </w:tcMar>
          </w:tcPr>
          <w:p>
            <w:pPr>
              <w:spacing w:after="0" w:line="240" w:lineRule="auto"/>
            </w:pPr>
            <w:r/>
            <w:r>
              <w:rPr>
                <w:rFonts w:ascii="Calibri" w:hAnsi="Calibri"/>
                <w:b/>
                <w:color w:val="243447"/>
                <w:sz w:val="14"/>
              </w:rPr>
              <w:t>Records • 2017–2020</w:t>
            </w:r>
          </w:p>
          <w:p>
            <w:pPr>
              <w:spacing w:after="0" w:line="240" w:lineRule="auto"/>
            </w:pPr>
            <w:hyperlink r:id="rId34">
              <w:r>
                <w:rPr>
                  <w:color w:val="2E74B5"/>
                  <w:u w:val="single"/>
                </w:rPr>
                <w:t>ICBF — desvinculados public dashboard</w:t>
              </w:r>
            </w:hyperlink>
          </w:p>
        </w:tc>
        <w:tc>
          <w:tcPr>
            <w:tcW w:type="dxa" w:w="3240"/>
            <w:vAlign w:val="top"/>
            <w:tcMar>
              <w:top w:w="70" w:type="dxa"/>
              <w:start w:w="95" w:type="dxa"/>
              <w:bottom w:w="70" w:type="dxa"/>
              <w:end w:w="95" w:type="dxa"/>
            </w:tcMar>
            <w:shd w:fill="F7FAFC"/>
          </w:tcPr>
          <w:p>
            <w:pPr>
              <w:spacing w:after="0" w:line="240" w:lineRule="auto"/>
            </w:pPr>
            <w:r/>
            <w:r>
              <w:rPr>
                <w:rFonts w:ascii="Calibri" w:hAnsi="Calibri"/>
                <w:b w:val="0"/>
                <w:color w:val="243447"/>
                <w:sz w:val="14"/>
              </w:rPr>
              <w:t>Not a direct recruitment incidence measure; depends on exits, recoveries and access to services.</w:t>
            </w:r>
          </w:p>
        </w:tc>
      </w:tr>
    </w:tbl>
    <w:p>
      <w:pPr>
        <w:spacing w:after="20"/>
      </w:pPr>
    </w:p>
    <w:p>
      <w:pPr>
        <w:pStyle w:val="Heading1"/>
      </w:pPr>
      <w:r>
        <w:t>Appendix A. The 17 yellow-marked records</w:t>
      </w:r>
    </w:p>
    <w:p>
      <w:pPr>
        <w:spacing w:after="0" w:line="252" w:lineRule="auto"/>
      </w:pPr>
      <w:r>
        <w:rPr>
          <w:rFonts w:ascii="Calibri" w:hAnsi="Calibri"/>
          <w:b w:val="0"/>
          <w:i w:val="0"/>
          <w:color w:val="243447"/>
          <w:sz w:val="17"/>
        </w:rPr>
        <w:t>The list below records what is visible in the workbook. It does not infer an undocumented reason for the ten unresolved marks. Yellow should remain a quality-control flag until the original compiler confirms the intended meaning.</w:t>
      </w:r>
    </w:p>
    <w:tbl>
      <w:tblPr>
        <w:tblW w:type="auto" w:w="0"/>
        <w:jc w:val="center"/>
        <w:tblLayout w:type="fixed"/>
        <w:tblLook w:firstColumn="1" w:firstRow="1" w:lastColumn="0" w:lastRow="0" w:noHBand="0" w:noVBand="1" w:val="04A0"/>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2376"/>
        <w:gridCol w:w="2376"/>
        <w:gridCol w:w="2376"/>
        <w:gridCol w:w="2376"/>
        <w:gridCol w:w="2376"/>
        <w:gridCol w:w="2376"/>
      </w:tblGrid>
      <w:tr>
        <w:tc>
          <w:tcPr>
            <w:tcW w:type="dxa" w:w="792"/>
            <w:vAlign w:val="center"/>
            <w:tcMar>
              <w:top w:w="70" w:type="dxa"/>
              <w:start w:w="95" w:type="dxa"/>
              <w:bottom w:w="70" w:type="dxa"/>
              <w:end w:w="95" w:type="dxa"/>
            </w:tcMar>
            <w:shd w:fill="16324F"/>
          </w:tcPr>
          <w:p>
            <w:pPr>
              <w:spacing w:after="0" w:line="240" w:lineRule="auto"/>
            </w:pPr>
            <w:r/>
            <w:r>
              <w:rPr>
                <w:rFonts w:ascii="Calibri" w:hAnsi="Calibri"/>
                <w:b/>
                <w:color w:val="FFFFFF"/>
                <w:sz w:val="14"/>
              </w:rPr>
              <w:t>No</w:t>
            </w:r>
          </w:p>
        </w:tc>
        <w:tc>
          <w:tcPr>
            <w:tcW w:type="dxa" w:w="1224"/>
            <w:vAlign w:val="center"/>
            <w:tcMar>
              <w:top w:w="70" w:type="dxa"/>
              <w:start w:w="95" w:type="dxa"/>
              <w:bottom w:w="70" w:type="dxa"/>
              <w:end w:w="95" w:type="dxa"/>
            </w:tcMar>
            <w:shd w:fill="16324F"/>
          </w:tcPr>
          <w:p>
            <w:pPr>
              <w:spacing w:after="0" w:line="240" w:lineRule="auto"/>
            </w:pPr>
            <w:r/>
            <w:r>
              <w:rPr>
                <w:rFonts w:ascii="Calibri" w:hAnsi="Calibri"/>
                <w:b/>
                <w:color w:val="FFFFFF"/>
                <w:sz w:val="14"/>
              </w:rPr>
              <w:t>Municipal code</w:t>
            </w:r>
          </w:p>
        </w:tc>
        <w:tc>
          <w:tcPr>
            <w:tcW w:type="dxa" w:w="3384"/>
            <w:vAlign w:val="center"/>
            <w:tcMar>
              <w:top w:w="70" w:type="dxa"/>
              <w:start w:w="95" w:type="dxa"/>
              <w:bottom w:w="70" w:type="dxa"/>
              <w:end w:w="95" w:type="dxa"/>
            </w:tcMar>
            <w:shd w:fill="16324F"/>
          </w:tcPr>
          <w:p>
            <w:pPr>
              <w:spacing w:after="0" w:line="240" w:lineRule="auto"/>
            </w:pPr>
            <w:r/>
            <w:r>
              <w:rPr>
                <w:rFonts w:ascii="Calibri" w:hAnsi="Calibri"/>
                <w:b/>
                <w:color w:val="FFFFFF"/>
                <w:sz w:val="14"/>
              </w:rPr>
              <w:t>Department — municipality</w:t>
            </w:r>
          </w:p>
        </w:tc>
        <w:tc>
          <w:tcPr>
            <w:tcW w:type="dxa" w:w="1224"/>
            <w:vAlign w:val="center"/>
            <w:tcMar>
              <w:top w:w="70" w:type="dxa"/>
              <w:start w:w="95" w:type="dxa"/>
              <w:bottom w:w="70" w:type="dxa"/>
              <w:end w:w="95" w:type="dxa"/>
            </w:tcMar>
            <w:shd w:fill="16324F"/>
          </w:tcPr>
          <w:p>
            <w:pPr>
              <w:spacing w:after="0" w:line="240" w:lineRule="auto"/>
            </w:pPr>
            <w:r/>
            <w:r>
              <w:rPr>
                <w:rFonts w:ascii="Calibri" w:hAnsi="Calibri"/>
                <w:b/>
                <w:color w:val="FFFFFF"/>
                <w:sz w:val="14"/>
              </w:rPr>
              <w:t>Recruitment count</w:t>
            </w:r>
          </w:p>
        </w:tc>
        <w:tc>
          <w:tcPr>
            <w:tcW w:type="dxa" w:w="1007"/>
            <w:vAlign w:val="center"/>
            <w:tcMar>
              <w:top w:w="70" w:type="dxa"/>
              <w:start w:w="95" w:type="dxa"/>
              <w:bottom w:w="70" w:type="dxa"/>
              <w:end w:w="95" w:type="dxa"/>
            </w:tcMar>
            <w:shd w:fill="16324F"/>
          </w:tcPr>
          <w:p>
            <w:pPr>
              <w:spacing w:after="0" w:line="240" w:lineRule="auto"/>
            </w:pPr>
            <w:r/>
            <w:r>
              <w:rPr>
                <w:rFonts w:ascii="Calibri" w:hAnsi="Calibri"/>
                <w:b/>
                <w:color w:val="FFFFFF"/>
                <w:sz w:val="14"/>
              </w:rPr>
              <w:t>Legacy 0/1</w:t>
            </w:r>
          </w:p>
        </w:tc>
        <w:tc>
          <w:tcPr>
            <w:tcW w:type="dxa" w:w="6336"/>
            <w:vAlign w:val="center"/>
            <w:tcMar>
              <w:top w:w="70" w:type="dxa"/>
              <w:start w:w="95" w:type="dxa"/>
              <w:bottom w:w="70" w:type="dxa"/>
              <w:end w:w="95" w:type="dxa"/>
            </w:tcMar>
            <w:shd w:fill="16324F"/>
          </w:tcPr>
          <w:p>
            <w:pPr>
              <w:spacing w:after="0" w:line="240" w:lineRule="auto"/>
            </w:pPr>
            <w:r/>
            <w:r>
              <w:rPr>
                <w:rFonts w:ascii="Calibri" w:hAnsi="Calibri"/>
                <w:b/>
                <w:color w:val="FFFFFF"/>
                <w:sz w:val="14"/>
              </w:rPr>
              <w:t>Finding</w:t>
            </w:r>
          </w:p>
        </w:tc>
      </w:tr>
      <w:tr>
        <w:trPr>
          <w:cantSplit/>
        </w:trPr>
        <w:tc>
          <w:tcPr>
            <w:tcW w:type="dxa" w:w="7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79</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27077</w:t>
            </w:r>
          </w:p>
        </w:tc>
        <w:tc>
          <w:tcPr>
            <w:tcW w:type="dxa" w:w="338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CHOCO — BAJO BAUDO</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25</w:t>
            </w:r>
          </w:p>
        </w:tc>
        <w:tc>
          <w:tcPr>
            <w:tcW w:type="dxa" w:w="1007"/>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w:t>
            </w:r>
          </w:p>
        </w:tc>
        <w:tc>
          <w:tcPr>
            <w:tcW w:type="dxa" w:w="6336"/>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Legacy yellow review mark; no legend/comment records the specific reason. Verify against original recruitment/geography source.</w:t>
            </w:r>
          </w:p>
        </w:tc>
      </w:tr>
      <w:tr>
        <w:trPr>
          <w:cantSplit/>
        </w:trPr>
        <w:tc>
          <w:tcPr>
            <w:tcW w:type="dxa" w:w="792"/>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902</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13683</w:t>
            </w:r>
          </w:p>
        </w:tc>
        <w:tc>
          <w:tcPr>
            <w:tcW w:type="dxa" w:w="338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BOLIVAR — SANTA ROSA</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4</w:t>
            </w:r>
          </w:p>
        </w:tc>
        <w:tc>
          <w:tcPr>
            <w:tcW w:type="dxa" w:w="1007"/>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1</w:t>
            </w:r>
          </w:p>
        </w:tc>
        <w:tc>
          <w:tcPr>
            <w:tcW w:type="dxa" w:w="6336"/>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Legacy yellow review mark; no legend/comment records the specific reason. Verify against original recruitment/geography source.</w:t>
            </w:r>
          </w:p>
        </w:tc>
      </w:tr>
      <w:tr>
        <w:trPr>
          <w:cantSplit/>
        </w:trPr>
        <w:tc>
          <w:tcPr>
            <w:tcW w:type="dxa" w:w="7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65</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05055</w:t>
            </w:r>
          </w:p>
        </w:tc>
        <w:tc>
          <w:tcPr>
            <w:tcW w:type="dxa" w:w="338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ANTIOQUIA — ARGELIA</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0</w:t>
            </w:r>
          </w:p>
        </w:tc>
        <w:tc>
          <w:tcPr>
            <w:tcW w:type="dxa" w:w="1007"/>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w:t>
            </w:r>
          </w:p>
        </w:tc>
        <w:tc>
          <w:tcPr>
            <w:tcW w:type="dxa" w:w="6336"/>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Confirmed inconsistency: count implies 0, but RecruitmentYesNo is 1.</w:t>
            </w:r>
          </w:p>
        </w:tc>
      </w:tr>
      <w:tr>
        <w:trPr>
          <w:cantSplit/>
        </w:trPr>
        <w:tc>
          <w:tcPr>
            <w:tcW w:type="dxa" w:w="792"/>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1020</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05819</w:t>
            </w:r>
          </w:p>
        </w:tc>
        <w:tc>
          <w:tcPr>
            <w:tcW w:type="dxa" w:w="338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ANTIOQUIA — TOLEDO</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0</w:t>
            </w:r>
          </w:p>
        </w:tc>
        <w:tc>
          <w:tcPr>
            <w:tcW w:type="dxa" w:w="1007"/>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1</w:t>
            </w:r>
          </w:p>
        </w:tc>
        <w:tc>
          <w:tcPr>
            <w:tcW w:type="dxa" w:w="6336"/>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Confirmed inconsistency: count implies 0, but RecruitmentYesNo is 1.</w:t>
            </w:r>
          </w:p>
        </w:tc>
      </w:tr>
      <w:tr>
        <w:trPr>
          <w:cantSplit/>
        </w:trPr>
        <w:tc>
          <w:tcPr>
            <w:tcW w:type="dxa" w:w="7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591</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13473</w:t>
            </w:r>
          </w:p>
        </w:tc>
        <w:tc>
          <w:tcPr>
            <w:tcW w:type="dxa" w:w="338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BOLIVAR — MORALES</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w:t>
            </w:r>
          </w:p>
        </w:tc>
        <w:tc>
          <w:tcPr>
            <w:tcW w:type="dxa" w:w="1007"/>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w:t>
            </w:r>
          </w:p>
        </w:tc>
        <w:tc>
          <w:tcPr>
            <w:tcW w:type="dxa" w:w="6336"/>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Legacy yellow review mark; no legend/comment records the specific reason. Verify against original recruitment/geography source.</w:t>
            </w:r>
          </w:p>
        </w:tc>
      </w:tr>
      <w:tr>
        <w:trPr>
          <w:cantSplit/>
        </w:trPr>
        <w:tc>
          <w:tcPr>
            <w:tcW w:type="dxa" w:w="792"/>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66</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76054</w:t>
            </w:r>
          </w:p>
        </w:tc>
        <w:tc>
          <w:tcPr>
            <w:tcW w:type="dxa" w:w="338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VALLE DEL CAUCA — ARGELIA</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0</w:t>
            </w:r>
          </w:p>
        </w:tc>
        <w:tc>
          <w:tcPr>
            <w:tcW w:type="dxa" w:w="1007"/>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0</w:t>
            </w:r>
          </w:p>
        </w:tc>
        <w:tc>
          <w:tcPr>
            <w:tcW w:type="dxa" w:w="6336"/>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Legacy yellow review mark; no legend/comment records the specific reason. Verify against original recruitment/geography source.</w:t>
            </w:r>
          </w:p>
        </w:tc>
      </w:tr>
      <w:tr>
        <w:trPr>
          <w:cantSplit/>
        </w:trPr>
        <w:tc>
          <w:tcPr>
            <w:tcW w:type="dxa" w:w="7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907</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13688</w:t>
            </w:r>
          </w:p>
        </w:tc>
        <w:tc>
          <w:tcPr>
            <w:tcW w:type="dxa" w:w="338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BOLIVAR — SANTA ROSA DEL SUR</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w:t>
            </w:r>
          </w:p>
        </w:tc>
        <w:tc>
          <w:tcPr>
            <w:tcW w:type="dxa" w:w="1007"/>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w:t>
            </w:r>
          </w:p>
        </w:tc>
        <w:tc>
          <w:tcPr>
            <w:tcW w:type="dxa" w:w="6336"/>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Legacy yellow review mark; no legend/comment records the specific reason. Verify against original recruitment/geography source.</w:t>
            </w:r>
          </w:p>
        </w:tc>
      </w:tr>
      <w:tr>
        <w:trPr>
          <w:cantSplit/>
        </w:trPr>
        <w:tc>
          <w:tcPr>
            <w:tcW w:type="dxa" w:w="792"/>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64</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19050</w:t>
            </w:r>
          </w:p>
        </w:tc>
        <w:tc>
          <w:tcPr>
            <w:tcW w:type="dxa" w:w="338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CAUCA — ARGELIA</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10</w:t>
            </w:r>
          </w:p>
        </w:tc>
        <w:tc>
          <w:tcPr>
            <w:tcW w:type="dxa" w:w="1007"/>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0</w:t>
            </w:r>
          </w:p>
        </w:tc>
        <w:tc>
          <w:tcPr>
            <w:tcW w:type="dxa" w:w="6336"/>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Confirmed inconsistency: count implies 1, but RecruitmentYesNo is 0.</w:t>
            </w:r>
          </w:p>
        </w:tc>
      </w:tr>
      <w:tr>
        <w:trPr>
          <w:cantSplit/>
        </w:trPr>
        <w:tc>
          <w:tcPr>
            <w:tcW w:type="dxa" w:w="7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466</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91405</w:t>
            </w:r>
          </w:p>
        </w:tc>
        <w:tc>
          <w:tcPr>
            <w:tcW w:type="dxa" w:w="338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AMAZONAS — LA CHORRERA</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2</w:t>
            </w:r>
          </w:p>
        </w:tc>
        <w:tc>
          <w:tcPr>
            <w:tcW w:type="dxa" w:w="1007"/>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w:t>
            </w:r>
          </w:p>
        </w:tc>
        <w:tc>
          <w:tcPr>
            <w:tcW w:type="dxa" w:w="6336"/>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Legacy yellow review mark; no legend/comment records the specific reason. Verify against original recruitment/geography source.</w:t>
            </w:r>
          </w:p>
        </w:tc>
      </w:tr>
      <w:tr>
        <w:trPr>
          <w:cantSplit/>
        </w:trPr>
        <w:tc>
          <w:tcPr>
            <w:tcW w:type="dxa" w:w="792"/>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485</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91407</w:t>
            </w:r>
          </w:p>
        </w:tc>
        <w:tc>
          <w:tcPr>
            <w:tcW w:type="dxa" w:w="338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AMAZONAS — LA PEDRERA</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2</w:t>
            </w:r>
          </w:p>
        </w:tc>
        <w:tc>
          <w:tcPr>
            <w:tcW w:type="dxa" w:w="1007"/>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1</w:t>
            </w:r>
          </w:p>
        </w:tc>
        <w:tc>
          <w:tcPr>
            <w:tcW w:type="dxa" w:w="6336"/>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Legacy yellow review mark; no legend/comment records the specific reason. Verify against original recruitment/geography source.</w:t>
            </w:r>
          </w:p>
        </w:tc>
      </w:tr>
      <w:tr>
        <w:trPr>
          <w:cantSplit/>
        </w:trPr>
        <w:tc>
          <w:tcPr>
            <w:tcW w:type="dxa" w:w="7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644</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19517</w:t>
            </w:r>
          </w:p>
        </w:tc>
        <w:tc>
          <w:tcPr>
            <w:tcW w:type="dxa" w:w="338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CAUCA — PAEZ</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w:t>
            </w:r>
          </w:p>
        </w:tc>
        <w:tc>
          <w:tcPr>
            <w:tcW w:type="dxa" w:w="1007"/>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0</w:t>
            </w:r>
          </w:p>
        </w:tc>
        <w:tc>
          <w:tcPr>
            <w:tcW w:type="dxa" w:w="6336"/>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Confirmed inconsistency: count implies 1, but RecruitmentYesNo is 0.</w:t>
            </w:r>
          </w:p>
        </w:tc>
      </w:tr>
      <w:tr>
        <w:trPr>
          <w:cantSplit/>
        </w:trPr>
        <w:tc>
          <w:tcPr>
            <w:tcW w:type="dxa" w:w="792"/>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732</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91540</w:t>
            </w:r>
          </w:p>
        </w:tc>
        <w:tc>
          <w:tcPr>
            <w:tcW w:type="dxa" w:w="338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AMAZONAS — PUERTO NARIÑO</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3</w:t>
            </w:r>
          </w:p>
        </w:tc>
        <w:tc>
          <w:tcPr>
            <w:tcW w:type="dxa" w:w="1007"/>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1</w:t>
            </w:r>
          </w:p>
        </w:tc>
        <w:tc>
          <w:tcPr>
            <w:tcW w:type="dxa" w:w="6336"/>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Legacy yellow review mark; no legend/comment records the specific reason. Verify against original recruitment/geography source.</w:t>
            </w:r>
          </w:p>
        </w:tc>
      </w:tr>
      <w:tr>
        <w:trPr>
          <w:cantSplit/>
        </w:trPr>
        <w:tc>
          <w:tcPr>
            <w:tcW w:type="dxa" w:w="7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739</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91669</w:t>
            </w:r>
          </w:p>
        </w:tc>
        <w:tc>
          <w:tcPr>
            <w:tcW w:type="dxa" w:w="338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AMAZONAS — PUERTO SANTANDER</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3</w:t>
            </w:r>
          </w:p>
        </w:tc>
        <w:tc>
          <w:tcPr>
            <w:tcW w:type="dxa" w:w="1007"/>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w:t>
            </w:r>
          </w:p>
        </w:tc>
        <w:tc>
          <w:tcPr>
            <w:tcW w:type="dxa" w:w="6336"/>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Legacy yellow review mark; no legend/comment records the specific reason. Verify against original recruitment/geography source.</w:t>
            </w:r>
          </w:p>
        </w:tc>
      </w:tr>
      <w:tr>
        <w:trPr>
          <w:cantSplit/>
        </w:trPr>
        <w:tc>
          <w:tcPr>
            <w:tcW w:type="dxa" w:w="792"/>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738</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54553</w:t>
            </w:r>
          </w:p>
        </w:tc>
        <w:tc>
          <w:tcPr>
            <w:tcW w:type="dxa" w:w="338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NORTE DE SANTANDER — PUERTO SANTANDER</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3</w:t>
            </w:r>
          </w:p>
        </w:tc>
        <w:tc>
          <w:tcPr>
            <w:tcW w:type="dxa" w:w="1007"/>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0</w:t>
            </w:r>
          </w:p>
        </w:tc>
        <w:tc>
          <w:tcPr>
            <w:tcW w:type="dxa" w:w="6336"/>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Confirmed inconsistency: count implies 1, but RecruitmentYesNo is 0.</w:t>
            </w:r>
          </w:p>
        </w:tc>
      </w:tr>
      <w:tr>
        <w:trPr>
          <w:cantSplit/>
        </w:trPr>
        <w:tc>
          <w:tcPr>
            <w:tcW w:type="dxa" w:w="7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569</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95200</w:t>
            </w:r>
          </w:p>
        </w:tc>
        <w:tc>
          <w:tcPr>
            <w:tcW w:type="dxa" w:w="338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GUAVIARE — MIRAFLORES</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5</w:t>
            </w:r>
          </w:p>
        </w:tc>
        <w:tc>
          <w:tcPr>
            <w:tcW w:type="dxa" w:w="1007"/>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0</w:t>
            </w:r>
          </w:p>
        </w:tc>
        <w:tc>
          <w:tcPr>
            <w:tcW w:type="dxa" w:w="6336"/>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Confirmed inconsistency: count implies 1, but RecruitmentYesNo is 0.</w:t>
            </w:r>
          </w:p>
        </w:tc>
      </w:tr>
      <w:tr>
        <w:trPr>
          <w:cantSplit/>
        </w:trPr>
        <w:tc>
          <w:tcPr>
            <w:tcW w:type="dxa" w:w="792"/>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919</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66687</w:t>
            </w:r>
          </w:p>
        </w:tc>
        <w:tc>
          <w:tcPr>
            <w:tcW w:type="dxa" w:w="338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RISARALDA — SANTUARIO</w:t>
            </w:r>
          </w:p>
        </w:tc>
        <w:tc>
          <w:tcPr>
            <w:tcW w:type="dxa" w:w="1224"/>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3</w:t>
            </w:r>
          </w:p>
        </w:tc>
        <w:tc>
          <w:tcPr>
            <w:tcW w:type="dxa" w:w="1007"/>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1</w:t>
            </w:r>
          </w:p>
        </w:tc>
        <w:tc>
          <w:tcPr>
            <w:tcW w:type="dxa" w:w="6336"/>
            <w:vAlign w:val="top"/>
            <w:tcMar>
              <w:top w:w="70" w:type="dxa"/>
              <w:start w:w="95" w:type="dxa"/>
              <w:bottom w:w="70" w:type="dxa"/>
              <w:end w:w="95" w:type="dxa"/>
            </w:tcMar>
            <w:shd w:fill="F4F6F8"/>
          </w:tcPr>
          <w:p>
            <w:pPr>
              <w:spacing w:after="0" w:line="240" w:lineRule="auto"/>
            </w:pPr>
            <w:r/>
            <w:r>
              <w:rPr>
                <w:rFonts w:ascii="Calibri" w:hAnsi="Calibri"/>
                <w:b w:val="0"/>
                <w:color w:val="243447"/>
                <w:sz w:val="14"/>
              </w:rPr>
              <w:t>Legacy yellow review mark; no legend/comment records the specific reason. Verify against original recruitment/geography source.</w:t>
            </w:r>
          </w:p>
        </w:tc>
      </w:tr>
      <w:tr>
        <w:trPr>
          <w:cantSplit/>
        </w:trPr>
        <w:tc>
          <w:tcPr>
            <w:tcW w:type="dxa" w:w="792"/>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1021</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54820</w:t>
            </w:r>
          </w:p>
        </w:tc>
        <w:tc>
          <w:tcPr>
            <w:tcW w:type="dxa" w:w="338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NORTE DE SANTANDER — TOLEDO</w:t>
            </w:r>
          </w:p>
        </w:tc>
        <w:tc>
          <w:tcPr>
            <w:tcW w:type="dxa" w:w="1224"/>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3</w:t>
            </w:r>
          </w:p>
        </w:tc>
        <w:tc>
          <w:tcPr>
            <w:tcW w:type="dxa" w:w="1007"/>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0</w:t>
            </w:r>
          </w:p>
        </w:tc>
        <w:tc>
          <w:tcPr>
            <w:tcW w:type="dxa" w:w="6336"/>
            <w:vAlign w:val="top"/>
            <w:tcMar>
              <w:top w:w="70" w:type="dxa"/>
              <w:start w:w="95" w:type="dxa"/>
              <w:bottom w:w="70" w:type="dxa"/>
              <w:end w:w="95" w:type="dxa"/>
            </w:tcMar>
            <w:shd w:fill="FFFFFF"/>
          </w:tcPr>
          <w:p>
            <w:pPr>
              <w:spacing w:after="0" w:line="240" w:lineRule="auto"/>
            </w:pPr>
            <w:r/>
            <w:r>
              <w:rPr>
                <w:rFonts w:ascii="Calibri" w:hAnsi="Calibri"/>
                <w:b w:val="0"/>
                <w:color w:val="243447"/>
                <w:sz w:val="14"/>
              </w:rPr>
              <w:t>Confirmed inconsistency: count implies 1, but RecruitmentYesNo is 0.</w:t>
            </w:r>
          </w:p>
        </w:tc>
      </w:tr>
    </w:tbl>
    <w:p>
      <w:pPr>
        <w:spacing w:after="20"/>
      </w:pPr>
    </w:p>
    <w:p>
      <w:pPr>
        <w:pStyle w:val="Heading1"/>
      </w:pPr>
      <w:r>
        <w:t>Appendix B. Quality-control actions before analysis</w:t>
      </w:r>
    </w:p>
    <w:p>
      <w:pPr>
        <w:spacing w:after="60" w:line="252" w:lineRule="auto"/>
        <w:ind w:left="288" w:hanging="202"/>
      </w:pPr>
      <w:r>
        <w:rPr>
          <w:rFonts w:ascii="Calibri" w:hAnsi="Calibri"/>
          <w:b w:val="0"/>
          <w:i w:val="0"/>
          <w:color w:val="243447"/>
          <w:sz w:val="17"/>
        </w:rPr>
        <w:t xml:space="preserve">• </w:t>
      </w:r>
      <w:r>
        <w:rPr>
          <w:rFonts w:ascii="Calibri" w:hAnsi="Calibri"/>
          <w:b w:val="0"/>
          <w:i w:val="0"/>
          <w:color w:val="243447"/>
          <w:sz w:val="17"/>
        </w:rPr>
        <w:t>Recalculate RecruitmentYesNo = 1 when TotalRecruitment &gt; 0, else 0, and record the correction in a new version rather than silently overwriting provenance.</w:t>
      </w:r>
    </w:p>
    <w:p>
      <w:pPr>
        <w:spacing w:after="60" w:line="252" w:lineRule="auto"/>
        <w:ind w:left="288" w:hanging="202"/>
      </w:pPr>
      <w:r>
        <w:rPr>
          <w:rFonts w:ascii="Calibri" w:hAnsi="Calibri"/>
          <w:b w:val="0"/>
          <w:i w:val="0"/>
          <w:color w:val="243447"/>
          <w:sz w:val="17"/>
        </w:rPr>
        <w:t xml:space="preserve">• </w:t>
      </w:r>
      <w:r>
        <w:rPr>
          <w:rFonts w:ascii="Calibri" w:hAnsi="Calibri"/>
          <w:b w:val="0"/>
          <w:i w:val="0"/>
          <w:color w:val="243447"/>
          <w:sz w:val="17"/>
        </w:rPr>
        <w:t>Recover or request the original explanation for all 17 yellow flags; retain a separate LegacyYellowFlag variable if the marks are analytically useful.</w:t>
      </w:r>
    </w:p>
    <w:p>
      <w:pPr>
        <w:spacing w:after="60" w:line="252" w:lineRule="auto"/>
        <w:ind w:left="288" w:hanging="202"/>
      </w:pPr>
      <w:r>
        <w:rPr>
          <w:rFonts w:ascii="Calibri" w:hAnsi="Calibri"/>
          <w:b w:val="0"/>
          <w:i w:val="0"/>
          <w:color w:val="243447"/>
          <w:sz w:val="17"/>
        </w:rPr>
        <w:t xml:space="preserve">• </w:t>
      </w:r>
      <w:r>
        <w:rPr>
          <w:rFonts w:ascii="Calibri" w:hAnsi="Calibri"/>
          <w:b w:val="0"/>
          <w:i w:val="0"/>
          <w:color w:val="243447"/>
          <w:sz w:val="17"/>
        </w:rPr>
        <w:t>Verify legacy drug-seizure units and recover the annual source tables used to create the averages.</w:t>
      </w:r>
    </w:p>
    <w:p>
      <w:pPr>
        <w:spacing w:after="60" w:line="252" w:lineRule="auto"/>
        <w:ind w:left="288" w:hanging="202"/>
      </w:pPr>
      <w:r>
        <w:rPr>
          <w:rFonts w:ascii="Calibri" w:hAnsi="Calibri"/>
          <w:b w:val="0"/>
          <w:i w:val="0"/>
          <w:color w:val="243447"/>
          <w:sz w:val="17"/>
        </w:rPr>
        <w:t xml:space="preserve">• </w:t>
      </w:r>
      <w:r>
        <w:rPr>
          <w:rFonts w:ascii="Calibri" w:hAnsi="Calibri"/>
          <w:b w:val="0"/>
          <w:i w:val="0"/>
          <w:color w:val="243447"/>
          <w:sz w:val="17"/>
        </w:rPr>
        <w:t>Recover annual recruitment observations if possible; TotalRecruitment alone cannot test whether changes in conflict dynamics precede changes in recruitment.</w:t>
      </w:r>
    </w:p>
    <w:p>
      <w:pPr>
        <w:spacing w:after="60" w:line="252" w:lineRule="auto"/>
        <w:ind w:left="288" w:hanging="202"/>
      </w:pPr>
      <w:r>
        <w:rPr>
          <w:rFonts w:ascii="Calibri" w:hAnsi="Calibri"/>
          <w:b w:val="0"/>
          <w:i w:val="0"/>
          <w:color w:val="243447"/>
          <w:sz w:val="17"/>
        </w:rPr>
        <w:t xml:space="preserve">• </w:t>
      </w:r>
      <w:r>
        <w:rPr>
          <w:rFonts w:ascii="Calibri" w:hAnsi="Calibri"/>
          <w:b w:val="0"/>
          <w:i w:val="0"/>
          <w:color w:val="243447"/>
          <w:sz w:val="17"/>
        </w:rPr>
        <w:t>Treat armed-group overlap as co-presence. Add event data on clashes, territorial disputes or qualitative evidence before calling it rivalry.</w:t>
      </w:r>
    </w:p>
    <w:p>
      <w:pPr>
        <w:spacing w:after="60" w:line="252" w:lineRule="auto"/>
        <w:ind w:left="288" w:hanging="202"/>
      </w:pPr>
      <w:r>
        <w:rPr>
          <w:rFonts w:ascii="Calibri" w:hAnsi="Calibri"/>
          <w:b w:val="0"/>
          <w:i w:val="0"/>
          <w:color w:val="243447"/>
          <w:sz w:val="17"/>
        </w:rPr>
        <w:t xml:space="preserve">• </w:t>
      </w:r>
      <w:r>
        <w:rPr>
          <w:rFonts w:ascii="Calibri" w:hAnsi="Calibri"/>
          <w:b w:val="0"/>
          <w:i w:val="0"/>
          <w:color w:val="243447"/>
          <w:sz w:val="17"/>
        </w:rPr>
        <w:t>For teaching, show both count and rate and ask students what each changes in the interpretation.</w:t>
      </w:r>
    </w:p>
    <w:p>
      <w:pPr>
        <w:spacing w:before="200"/>
        <w:jc w:val="center"/>
      </w:pPr>
      <w:r>
        <w:rPr>
          <w:rFonts w:ascii="Calibri" w:hAnsi="Calibri"/>
          <w:i/>
          <w:color w:val="6B7280"/>
          <w:sz w:val="16"/>
        </w:rPr>
        <w:t>Prepared as a transparent evidence guide for teaching and analysis • 2 August 2026</w:t>
      </w:r>
    </w:p>
    <w:sectPr w:rsidR="00FC693F" w:rsidRPr="0006063C" w:rsidSect="00034616">
      <w:headerReference w:type="default" r:id="rId9"/>
      <w:footerReference w:type="default" r:id="rId10"/>
      <w:pgSz w:w="15840" w:h="12240" w:orient="landscape"/>
      <w:pgMar w:top="950" w:right="792" w:bottom="648" w:left="792" w:header="317"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B7280"/>
        <w:sz w:val="15"/>
      </w:rPr>
      <w:t xml:space="preserve">Data dictionary and source guide  •  Page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7128"/>
      <w:gridCol w:w="7128"/>
    </w:tblGrid>
    <w:tr>
      <w:tc>
        <w:tcPr>
          <w:tcW w:type="dxa" w:w="10656"/>
          <w:vAlign w:val="top"/>
          <w:tcMar>
            <w:top w:w="70" w:type="dxa"/>
            <w:start w:w="95" w:type="dxa"/>
            <w:bottom w:w="70" w:type="dxa"/>
            <w:end w:w="95" w:type="dxa"/>
          </w:tcMar>
          <w:shd w:fill="FFFFFF"/>
        </w:tcPr>
        <w:p>
          <w:pPr>
            <w:spacing w:after="0" w:line="240" w:lineRule="auto"/>
          </w:pPr>
          <w:r/>
          <w:r>
            <w:rPr>
              <w:rFonts w:ascii="Calibri" w:hAnsi="Calibri"/>
              <w:b/>
              <w:color w:val="16324F"/>
              <w:sz w:val="16"/>
            </w:rPr>
            <w:t>COLOMBIA MUNICIPAL RECRUITMENT EVIDENCE BASE</w:t>
          </w:r>
        </w:p>
      </w:tc>
      <w:tc>
        <w:tcPr>
          <w:tcW w:type="dxa" w:w="3600"/>
          <w:vAlign w:val="top"/>
          <w:tcMar>
            <w:top w:w="70" w:type="dxa"/>
            <w:start w:w="95" w:type="dxa"/>
            <w:bottom w:w="70" w:type="dxa"/>
            <w:end w:w="95" w:type="dxa"/>
          </w:tcMar>
          <w:shd w:fill="FFFFFF"/>
        </w:tcPr>
        <w:p>
          <w:pPr>
            <w:spacing w:after="0" w:line="240" w:lineRule="auto"/>
            <w:jc w:val="right"/>
          </w:pPr>
          <w:r/>
          <w:r>
            <w:rPr>
              <w:rFonts w:ascii="Calibri" w:hAnsi="Calibri"/>
              <w:b/>
              <w:color w:val="0F766E"/>
              <w:sz w:val="16"/>
            </w:rPr>
            <w:t>DATA KEY  •  2017–2020</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Calibri" w:hAnsi="Calibri"/>
      <w:color w:val="243447"/>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60"/>
      <w:outlineLvl w:val="0"/>
    </w:pPr>
    <w:rPr>
      <w:rFonts w:asciiTheme="majorHAnsi" w:eastAsiaTheme="majorEastAsia" w:hAnsiTheme="majorHAnsi" w:cstheme="majorBidi" w:ascii="Calibri" w:hAnsi="Calibri"/>
      <w:b/>
      <w:bCs/>
      <w:color w:val="2E74B5"/>
      <w:sz w:val="31"/>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6324F"/>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0F766E"/>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6324F"/>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atospaz.unidadvictimas.gov.co/" TargetMode="External"/><Relationship Id="rId12" Type="http://schemas.openxmlformats.org/officeDocument/2006/relationships/hyperlink" Target="https://coalico.org/publicaciones/" TargetMode="External"/><Relationship Id="rId13" Type="http://schemas.openxmlformats.org/officeDocument/2006/relationships/hyperlink" Target="https://indepaz.org.co/observatorio-de-derechos-humanos-y-conflictividades/visor-de-asesinato-a-firmantes-del-acuerdo-de-paz-en-colombia/" TargetMode="External"/><Relationship Id="rId14" Type="http://schemas.openxmlformats.org/officeDocument/2006/relationships/hyperlink" Target="https://somosdefensores.org/informes-anuales/" TargetMode="External"/><Relationship Id="rId15" Type="http://schemas.openxmlformats.org/officeDocument/2006/relationships/hyperlink" Target="https://flip.org.co/" TargetMode="External"/><Relationship Id="rId16" Type="http://schemas.openxmlformats.org/officeDocument/2006/relationships/hyperlink" Target="https://indepaz.org.co/informe-de-masacres-en-colombia-durante-el-2020-2021/" TargetMode="External"/><Relationship Id="rId17" Type="http://schemas.openxmlformats.org/officeDocument/2006/relationships/hyperlink" Target="https://rutasdelconflicto.com/masacres" TargetMode="External"/><Relationship Id="rId18" Type="http://schemas.openxmlformats.org/officeDocument/2006/relationships/hyperlink" Target="https://www.policia.gov.co/estadistica-delictiva-old" TargetMode="External"/><Relationship Id="rId19" Type="http://schemas.openxmlformats.org/officeDocument/2006/relationships/hyperlink" Target="https://www.datos.gov.co/Seguridad-y-Defensa/HOMICIDIO/m8fd-ahd9" TargetMode="External"/><Relationship Id="rId20" Type="http://schemas.openxmlformats.org/officeDocument/2006/relationships/hyperlink" Target="https://www.datos.gov.co/Educaci-n/MEN_ESTADISTICAS_EN_EDUCACION_EN_PREESCOLAR-B-SICA/nudc-7mev" TargetMode="External"/><Relationship Id="rId21" Type="http://schemas.openxmlformats.org/officeDocument/2006/relationships/hyperlink" Target="https://www.dane.gov.co/index.php/estadisticas-por-tema/mercado-laboral/empleo-y-desempleo" TargetMode="External"/><Relationship Id="rId22" Type="http://schemas.openxmlformats.org/officeDocument/2006/relationships/hyperlink" Target="https://www.dane.gov.co/index.php/estadisticas-por-tema/pobreza-y-condiciones-de-vida/pobreza-y-desigualdad/medida-de-pobreza-multidimensional-de-fuente-censal" TargetMode="External"/><Relationship Id="rId23" Type="http://schemas.openxmlformats.org/officeDocument/2006/relationships/hyperlink" Target="https://www.dane.gov.co/index.php/estadisticas-por-tema/demografia-y-poblacion/proyecciones-de-poblacion" TargetMode="External"/><Relationship Id="rId24" Type="http://schemas.openxmlformats.org/officeDocument/2006/relationships/hyperlink" Target="https://www.dane.gov.co/index.php/estadisticas-por-tema/demografia-y-poblacion/censo-nacional-de-poblacion-y-vivenda-2018" TargetMode="External"/><Relationship Id="rId25" Type="http://schemas.openxmlformats.org/officeDocument/2006/relationships/hyperlink" Target="https://www.unodc.org/colombia/es/da/publicaciones.html" TargetMode="External"/><Relationship Id="rId26" Type="http://schemas.openxmlformats.org/officeDocument/2006/relationships/hyperlink" Target="https://www.reincorporacion.gov.co/" TargetMode="External"/><Relationship Id="rId27" Type="http://schemas.openxmlformats.org/officeDocument/2006/relationships/hyperlink" Target="https://www.funcionpublica.gov.co/eva/gestornormativo/norma.php?i=81856" TargetMode="External"/><Relationship Id="rId28" Type="http://schemas.openxmlformats.org/officeDocument/2006/relationships/hyperlink" Target="https://indepaz.org.co/category/observatorio-de-conflictos-y-posacuerdos/grupos-armados-observatorio-de-conflictos-y-posacuerdos/" TargetMode="External"/><Relationship Id="rId29" Type="http://schemas.openxmlformats.org/officeDocument/2006/relationships/hyperlink" Target="https://www.pares.com.co/" TargetMode="External"/><Relationship Id="rId30" Type="http://schemas.openxmlformats.org/officeDocument/2006/relationships/hyperlink" Target="https://www.datos.gov.co/Justicia-y-Derecho/Detecci-n-de-Cultivos-de-Coca-hect-reas-/acs4-3wgp" TargetMode="External"/><Relationship Id="rId31" Type="http://schemas.openxmlformats.org/officeDocument/2006/relationships/hyperlink" Target="https://www.colombiaenmapas.gov.co/" TargetMode="External"/><Relationship Id="rId32" Type="http://schemas.openxmlformats.org/officeDocument/2006/relationships/hyperlink" Target="https://www.upme.gov.co/simec/energia-electrica/cobertura/indice-de-cobertura-de-energia-electrica-icee/" TargetMode="External"/><Relationship Id="rId33" Type="http://schemas.openxmlformats.org/officeDocument/2006/relationships/hyperlink" Target="https://alertastempranas.defensoria.gov.co/" TargetMode="External"/><Relationship Id="rId34" Type="http://schemas.openxmlformats.org/officeDocument/2006/relationships/hyperlink" Target="https://public.tableau.com/app/profile/anal.tica.institucional.icbf/viz/Desvinculados/Port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Colombia Municipal Recruitment Evidence Base — Data Key</dc:title>
  <dc:subject>Complete variable dictionary, sources, limitations and yellow-flag explanation</dc:subject>
  <dc:creator>OpenAI</dc:creator>
  <cp:keywords/>
  <dc:description>Generated from Universe_Enhanced_Recruitment_Social_Data.xlsx; previous provenance key: recruitment and conflict data keys document(1).xlsx.</dc:description>
  <cp:lastModifiedBy/>
  <cp:revision>1</cp:revision>
  <dcterms:created xsi:type="dcterms:W3CDTF">2013-12-23T23:15:00Z</dcterms:created>
  <dcterms:modified xsi:type="dcterms:W3CDTF">2013-12-23T23:15:00Z</dcterms:modified>
  <cp:category/>
</cp:coreProperties>
</file>